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D6F4" w14:textId="7CBF7B4A" w:rsidR="005049A4" w:rsidRPr="003F020F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4D80DC6" w14:textId="77777777" w:rsidR="00620F3D" w:rsidRPr="00E97507" w:rsidRDefault="00620F3D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97507">
        <w:rPr>
          <w:rFonts w:asciiTheme="majorBidi" w:hAnsiTheme="majorBidi" w:cstheme="majorBidi"/>
          <w:b/>
          <w:bCs/>
          <w:color w:val="C00000"/>
          <w:sz w:val="28"/>
          <w:szCs w:val="28"/>
        </w:rPr>
        <w:t>Indirect acting cholinergic agents (agonists)</w:t>
      </w:r>
    </w:p>
    <w:p w14:paraId="7F95419D" w14:textId="77777777" w:rsidR="00620F3D" w:rsidRPr="00E97507" w:rsidRDefault="00620F3D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1C031854" w14:textId="77777777" w:rsidR="00620F3D" w:rsidRPr="00D9148D" w:rsidRDefault="00620F3D" w:rsidP="00620F3D">
      <w:pPr>
        <w:pStyle w:val="NoSpacing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28"/>
          <w:szCs w:val="28"/>
        </w:rPr>
        <w:t>Cholinesterase inhibitors</w:t>
      </w:r>
    </w:p>
    <w:p w14:paraId="3DC8FE65" w14:textId="20F57796" w:rsidR="00620F3D" w:rsidRDefault="00E37815" w:rsidP="00620F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11649" w:dyaOrig="10444" w14:anchorId="58A4B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29.25pt" o:ole="">
            <v:imagedata r:id="rId8" o:title=""/>
          </v:shape>
          <o:OLEObject Type="Embed" ProgID="ChemDraw.Document.6.0" ShapeID="_x0000_i1025" DrawAspect="Content" ObjectID="_1759860976" r:id="rId9"/>
        </w:object>
      </w:r>
    </w:p>
    <w:p w14:paraId="62D44527" w14:textId="77777777" w:rsidR="00620F3D" w:rsidRDefault="00620F3D" w:rsidP="00620F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6DC88E" w14:textId="77777777" w:rsidR="00620F3D" w:rsidRDefault="00620F3D" w:rsidP="00620F3D">
      <w:pPr>
        <w:pStyle w:val="NoSpacing"/>
        <w:tabs>
          <w:tab w:val="left" w:pos="831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</w:t>
      </w:r>
    </w:p>
    <w:p w14:paraId="02B3ABD5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The active center of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consists of several major </w:t>
      </w:r>
      <w:proofErr w:type="gram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domains:-</w:t>
      </w:r>
      <w:proofErr w:type="gramEnd"/>
    </w:p>
    <w:p w14:paraId="41D3BF5A" w14:textId="77777777" w:rsidR="00620F3D" w:rsidRPr="00D9148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03773B4F" w14:textId="4C660653" w:rsidR="00620F3D" w:rsidRPr="004B1B45" w:rsidRDefault="00620F3D" w:rsidP="00204E64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B1B45">
        <w:rPr>
          <w:rFonts w:asciiTheme="majorBidi" w:hAnsiTheme="majorBidi" w:cstheme="majorBidi"/>
          <w:b/>
          <w:bCs/>
          <w:sz w:val="24"/>
          <w:szCs w:val="24"/>
        </w:rPr>
        <w:t xml:space="preserve"> an anionic site, to which the trimethylammonium group binds. </w:t>
      </w:r>
    </w:p>
    <w:p w14:paraId="102AF522" w14:textId="77777777" w:rsidR="00620F3D" w:rsidRDefault="00620F3D" w:rsidP="00620F3D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334AC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proofErr w:type="spellStart"/>
      <w:r w:rsidRPr="004334AC">
        <w:rPr>
          <w:rFonts w:asciiTheme="majorBidi" w:hAnsiTheme="majorBidi" w:cstheme="majorBidi"/>
          <w:b/>
          <w:bCs/>
          <w:sz w:val="24"/>
          <w:szCs w:val="24"/>
        </w:rPr>
        <w:t>esteratic</w:t>
      </w:r>
      <w:proofErr w:type="spellEnd"/>
      <w:r w:rsidRPr="004334AC">
        <w:rPr>
          <w:rFonts w:asciiTheme="majorBidi" w:hAnsiTheme="majorBidi" w:cstheme="majorBidi"/>
          <w:b/>
          <w:bCs/>
          <w:sz w:val="24"/>
          <w:szCs w:val="24"/>
        </w:rPr>
        <w:t xml:space="preserve"> Site, which causes hydrolysis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the ester portion of Ach.</w:t>
      </w:r>
    </w:p>
    <w:p w14:paraId="5B0ACC00" w14:textId="77777777" w:rsidR="00620F3D" w:rsidRDefault="00620F3D" w:rsidP="00620F3D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4841141C" w14:textId="77777777" w:rsidR="00620F3D" w:rsidRDefault="00620F3D" w:rsidP="00620F3D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H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>ydrophobic sites, which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>bind aryl substrates, other uncharged ligands, and the alkyl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 xml:space="preserve">portion of the acyl moiety of </w:t>
      </w:r>
      <w:proofErr w:type="spellStart"/>
      <w:r w:rsidRPr="00D94EE6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D94E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3AD5689" w14:textId="77777777" w:rsidR="00920726" w:rsidRDefault="00920726" w:rsidP="00920726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BDD6983" w14:textId="13057054" w:rsidR="00620F3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Three different chemical groupings may react with the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esteratic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site of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which </w:t>
      </w:r>
      <w:proofErr w:type="gram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includes:-</w:t>
      </w:r>
      <w:proofErr w:type="gramEnd"/>
    </w:p>
    <w:p w14:paraId="52B30EE5" w14:textId="3A4F52DD" w:rsidR="00172086" w:rsidRDefault="00172086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102AC2CD" w14:textId="537FF622" w:rsidR="00172086" w:rsidRDefault="00172086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6F125103" w14:textId="2CBAD80D" w:rsidR="00172086" w:rsidRDefault="00172086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16FF3D39" w14:textId="010D7AEB" w:rsidR="00172086" w:rsidRDefault="00172086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7D3137E6" w14:textId="643A6B0A" w:rsidR="004B1B45" w:rsidRDefault="004B1B45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30294702" w14:textId="77777777" w:rsidR="004B1B45" w:rsidRPr="00D9148D" w:rsidRDefault="004B1B45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682592B7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3568" behindDoc="0" locked="0" layoutInCell="1" allowOverlap="1" wp14:anchorId="4320CB4B" wp14:editId="5C23DB41">
            <wp:simplePos x="0" y="0"/>
            <wp:positionH relativeFrom="column">
              <wp:posOffset>1409700</wp:posOffset>
            </wp:positionH>
            <wp:positionV relativeFrom="paragraph">
              <wp:posOffset>96574</wp:posOffset>
            </wp:positionV>
            <wp:extent cx="609600" cy="499056"/>
            <wp:effectExtent l="1905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7A654E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668D073F" w14:textId="77777777"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cetyl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group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(  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), reversible inhibitor.</w:t>
      </w:r>
    </w:p>
    <w:p w14:paraId="4B5BF8A4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25E95FA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1AC6EF7" w14:textId="77777777"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669F32BD" wp14:editId="046A6C9B">
            <wp:simplePos x="0" y="0"/>
            <wp:positionH relativeFrom="column">
              <wp:posOffset>1735580</wp:posOffset>
            </wp:positionH>
            <wp:positionV relativeFrom="paragraph">
              <wp:posOffset>-266700</wp:posOffset>
            </wp:positionV>
            <wp:extent cx="619125" cy="495300"/>
            <wp:effectExtent l="1905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Carb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amyl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group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(  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),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semireversible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inhibitor.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F29B6B8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E53AB81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 wp14:anchorId="01D53806" wp14:editId="6BD2FD1E">
            <wp:simplePos x="0" y="0"/>
            <wp:positionH relativeFrom="column">
              <wp:posOffset>1704975</wp:posOffset>
            </wp:positionH>
            <wp:positionV relativeFrom="paragraph">
              <wp:posOffset>111760</wp:posOffset>
            </wp:positionV>
            <wp:extent cx="647700" cy="575310"/>
            <wp:effectExtent l="0" t="0" r="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734AD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2DCAF41" w14:textId="77777777"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Phos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phoryl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group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(  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), irreversible inhibitor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173C4BB9" w14:textId="77777777" w:rsidR="00620F3D" w:rsidRDefault="00620F3D" w:rsidP="00620F3D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7F31BC77" w14:textId="77777777" w:rsidR="00620F3D" w:rsidRPr="006533EF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2180D47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NOTE:-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chemical reactions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these groups are similar, the kinetic parameter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each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type of substrate differ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and result in diffe</w:t>
      </w:r>
      <w:r>
        <w:rPr>
          <w:rFonts w:asciiTheme="majorBidi" w:hAnsiTheme="majorBidi" w:cstheme="majorBidi"/>
          <w:b/>
          <w:bCs/>
          <w:sz w:val="24"/>
          <w:szCs w:val="24"/>
        </w:rPr>
        <w:t>rences between toxicity and usefulness.</w:t>
      </w:r>
    </w:p>
    <w:p w14:paraId="5FC233EF" w14:textId="77777777"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84F3B2E" w14:textId="1A4075C7" w:rsidR="00620F3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The hydrolysis of Ach by </w:t>
      </w:r>
      <w:proofErr w:type="spellStart"/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</w:p>
    <w:p w14:paraId="35F310E3" w14:textId="0B1F5B76" w:rsidR="00873CBA" w:rsidRPr="00873CBA" w:rsidRDefault="00873CBA" w:rsidP="00620F3D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873CBA">
        <w:rPr>
          <w:rFonts w:eastAsia="+mj-ea"/>
          <w:color w:val="0F6FC6"/>
          <w:kern w:val="24"/>
          <w:sz w:val="56"/>
          <w:szCs w:val="56"/>
        </w:rPr>
        <w:t xml:space="preserve">   </w:t>
      </w:r>
      <w:r w:rsidRPr="00873CBA">
        <w:rPr>
          <w:rFonts w:ascii="Times New Roman" w:eastAsia="+mj-ea" w:hAnsi="Times New Roman" w:cs="Times New Roman"/>
          <w:b/>
          <w:color w:val="0F6FC6"/>
          <w:kern w:val="24"/>
          <w:sz w:val="28"/>
          <w:szCs w:val="28"/>
          <w:u w:val="single"/>
        </w:rPr>
        <w:t xml:space="preserve">Theory of </w:t>
      </w:r>
      <w:proofErr w:type="spellStart"/>
      <w:r w:rsidRPr="00873CBA">
        <w:rPr>
          <w:rFonts w:ascii="Times New Roman" w:eastAsia="+mj-ea" w:hAnsi="Times New Roman" w:cs="Times New Roman"/>
          <w:b/>
          <w:color w:val="0F6FC6"/>
          <w:kern w:val="24"/>
          <w:sz w:val="28"/>
          <w:szCs w:val="28"/>
          <w:u w:val="single"/>
        </w:rPr>
        <w:t>AchE</w:t>
      </w:r>
      <w:proofErr w:type="spellEnd"/>
      <w:r w:rsidRPr="00873CBA">
        <w:rPr>
          <w:rFonts w:ascii="Times New Roman" w:eastAsia="+mj-ea" w:hAnsi="Times New Roman" w:cs="Times New Roman"/>
          <w:b/>
          <w:color w:val="0F6FC6"/>
          <w:kern w:val="24"/>
          <w:sz w:val="28"/>
          <w:szCs w:val="28"/>
          <w:u w:val="single"/>
        </w:rPr>
        <w:t xml:space="preserve"> inhibitors</w:t>
      </w:r>
    </w:p>
    <w:p w14:paraId="3435B98C" w14:textId="77777777" w:rsidR="00873CBA" w:rsidRPr="00873CBA" w:rsidRDefault="00873CBA" w:rsidP="00873CBA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73CB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During hydrolysis of Ach, the </w:t>
      </w:r>
      <w:proofErr w:type="spellStart"/>
      <w:r w:rsidRPr="00873CB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AchE</w:t>
      </w:r>
      <w:proofErr w:type="spellEnd"/>
      <w:r w:rsidRPr="00873CB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gets acylated. </w:t>
      </w:r>
    </w:p>
    <w:p w14:paraId="0C1BEE94" w14:textId="2554BC89" w:rsidR="00873CBA" w:rsidRPr="00873CBA" w:rsidRDefault="00873CBA" w:rsidP="00873CBA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73CB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It needs to be hydrolyzed by water to be regenerated in free </w:t>
      </w:r>
      <w:r w:rsidR="004954F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form</w:t>
      </w:r>
      <w:r w:rsidRPr="00873CB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or else it can’t function again.</w:t>
      </w:r>
    </w:p>
    <w:p w14:paraId="2AC125CA" w14:textId="77777777" w:rsidR="00873CBA" w:rsidRPr="00873CBA" w:rsidRDefault="00873CBA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</w:p>
    <w:p w14:paraId="529E2801" w14:textId="29413925" w:rsidR="00620F3D" w:rsidRPr="00B46DB4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16AC2F59" w14:textId="156BE3BA" w:rsidR="00C30A2A" w:rsidRDefault="007C595B" w:rsidP="007C595B">
      <w:pPr>
        <w:pStyle w:val="NoSpacing"/>
        <w:jc w:val="center"/>
      </w:pPr>
      <w:r>
        <w:object w:dxaOrig="8345" w:dyaOrig="6638" w14:anchorId="662A5E74">
          <v:shape id="_x0000_i1026" type="#_x0000_t75" style="width:203.25pt;height:162pt" o:ole="">
            <v:imagedata r:id="rId13" o:title=""/>
          </v:shape>
          <o:OLEObject Type="Embed" ProgID="ChemDraw.Document.6.0" ShapeID="_x0000_i1026" DrawAspect="Content" ObjectID="_1759860977" r:id="rId14"/>
        </w:object>
      </w:r>
    </w:p>
    <w:p w14:paraId="6D42C4DA" w14:textId="3586D895" w:rsidR="00AB70EA" w:rsidRDefault="00AB70EA" w:rsidP="00620F3D">
      <w:pPr>
        <w:pStyle w:val="NoSpacing"/>
      </w:pPr>
    </w:p>
    <w:p w14:paraId="0931D8F6" w14:textId="77777777" w:rsidR="007C595B" w:rsidRDefault="007C595B" w:rsidP="007C595B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The initial step in the hydrolysis of </w:t>
      </w:r>
      <w:proofErr w:type="spellStart"/>
      <w:r w:rsidRPr="00B46DB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by </w:t>
      </w:r>
      <w:proofErr w:type="spellStart"/>
      <w:r w:rsidRPr="00B46DB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is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reversible enzyme—substrate complex formation. The association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rate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(k </w:t>
      </w:r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+ 1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) and dissociation rate (k</w:t>
      </w:r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-</w:t>
      </w:r>
      <w:proofErr w:type="gramStart"/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relatively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large. </w:t>
      </w:r>
    </w:p>
    <w:p w14:paraId="585D1B20" w14:textId="77777777" w:rsidR="007C595B" w:rsidRDefault="007C595B" w:rsidP="007C595B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enzyme—substrate complex, E</w:t>
      </w:r>
      <w:r w:rsidRPr="00D9148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—Ach,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may also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form an acetyl-enzyme intermediate at a rate (k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) that 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slower than either the association or dissociation rates. </w:t>
      </w:r>
    </w:p>
    <w:p w14:paraId="06E67897" w14:textId="77777777" w:rsidR="007C595B" w:rsidRDefault="007C595B" w:rsidP="007C595B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75059">
        <w:rPr>
          <w:rFonts w:asciiTheme="majorBidi" w:hAnsiTheme="majorBidi" w:cstheme="majorBidi"/>
          <w:b/>
          <w:bCs/>
          <w:sz w:val="24"/>
          <w:szCs w:val="24"/>
        </w:rPr>
        <w:t>Choline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>is released from this complex with the formation of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acetyl-enzyme intermediate,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 EA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52ACE3CA" w14:textId="77777777" w:rsidR="007C595B" w:rsidRDefault="007C595B" w:rsidP="007C595B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75059">
        <w:rPr>
          <w:rFonts w:asciiTheme="majorBidi" w:hAnsiTheme="majorBidi" w:cstheme="majorBidi"/>
          <w:b/>
          <w:bCs/>
          <w:sz w:val="24"/>
          <w:szCs w:val="24"/>
        </w:rPr>
        <w:t>This intermediate is then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hydrolyzed to regenerate the free enzyme and acetic acid </w:t>
      </w:r>
      <w:r>
        <w:rPr>
          <w:rFonts w:asciiTheme="majorBidi" w:hAnsiTheme="majorBidi" w:cstheme="majorBidi"/>
          <w:b/>
          <w:bCs/>
          <w:sz w:val="24"/>
          <w:szCs w:val="24"/>
        </w:rPr>
        <w:t>at a rate (K</w:t>
      </w:r>
      <w:r w:rsidRPr="00E7505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DAB994B" w14:textId="77777777" w:rsidR="007C595B" w:rsidRPr="00E75059" w:rsidRDefault="007C595B" w:rsidP="007C595B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4B24B513" w14:textId="77777777" w:rsidR="007C595B" w:rsidRPr="00A043E9" w:rsidRDefault="007C595B" w:rsidP="007C595B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Note:-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43E9">
        <w:rPr>
          <w:rFonts w:asciiTheme="majorBidi" w:hAnsiTheme="majorBidi" w:cstheme="majorBidi"/>
          <w:b/>
          <w:bCs/>
          <w:color w:val="FF0000"/>
          <w:sz w:val="24"/>
          <w:szCs w:val="24"/>
        </w:rPr>
        <w:t>The acetylation rate, K</w:t>
      </w:r>
      <w:r w:rsidRPr="00A043E9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2</w:t>
      </w:r>
      <w:r w:rsidRPr="00A043E9">
        <w:rPr>
          <w:rFonts w:asciiTheme="majorBidi" w:hAnsiTheme="majorBidi" w:cstheme="majorBidi"/>
          <w:b/>
          <w:bCs/>
          <w:color w:val="FF0000"/>
          <w:sz w:val="24"/>
          <w:szCs w:val="24"/>
        </w:rPr>
        <w:t>, is the slowest step in this sequence and is rate-limiting step.</w:t>
      </w:r>
    </w:p>
    <w:p w14:paraId="5A438A25" w14:textId="77777777" w:rsidR="007C595B" w:rsidRDefault="007C595B" w:rsidP="007C595B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E7ECB8A" w14:textId="670C19EE" w:rsidR="007C595B" w:rsidRDefault="007C595B" w:rsidP="00620F3D">
      <w:pPr>
        <w:pStyle w:val="NoSpacing"/>
      </w:pPr>
      <w:r>
        <w:object w:dxaOrig="10224" w:dyaOrig="1646" w14:anchorId="49D8473D">
          <v:shape id="_x0000_i1027" type="#_x0000_t75" style="width:468pt;height:75pt" o:ole="">
            <v:imagedata r:id="rId15" o:title=""/>
          </v:shape>
          <o:OLEObject Type="Embed" ProgID="ChemDraw.Document.6.0" ShapeID="_x0000_i1027" DrawAspect="Content" ObjectID="_1759860978" r:id="rId16"/>
        </w:object>
      </w:r>
    </w:p>
    <w:p w14:paraId="5AD889B7" w14:textId="402816B5" w:rsidR="007C595B" w:rsidRDefault="007C595B" w:rsidP="00620F3D">
      <w:pPr>
        <w:pStyle w:val="NoSpacing"/>
      </w:pPr>
    </w:p>
    <w:p w14:paraId="7D48C623" w14:textId="77777777" w:rsidR="00AB70EA" w:rsidRDefault="00AB70EA" w:rsidP="00620F3D">
      <w:pPr>
        <w:pStyle w:val="NoSpacing"/>
      </w:pPr>
    </w:p>
    <w:p w14:paraId="66A11636" w14:textId="1E9850AB" w:rsidR="00C30A2A" w:rsidRDefault="00C30A2A" w:rsidP="00620F3D">
      <w:pPr>
        <w:pStyle w:val="NoSpacing"/>
      </w:pPr>
    </w:p>
    <w:p w14:paraId="4CDE0E40" w14:textId="703FDA62" w:rsidR="00C30A2A" w:rsidRDefault="00C30A2A" w:rsidP="00620F3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DD59805" w14:textId="77777777" w:rsidR="00620F3D" w:rsidRPr="004328D6" w:rsidRDefault="00620F3D" w:rsidP="00620F3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635F1CE" w14:textId="3F095407" w:rsidR="00620F3D" w:rsidRDefault="0065388B" w:rsidP="00620F3D">
      <w:pPr>
        <w:tabs>
          <w:tab w:val="left" w:pos="990"/>
        </w:tabs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4AB20E" wp14:editId="6CE82730">
            <wp:simplePos x="0" y="0"/>
            <wp:positionH relativeFrom="column">
              <wp:posOffset>600075</wp:posOffset>
            </wp:positionH>
            <wp:positionV relativeFrom="paragraph">
              <wp:posOffset>12700</wp:posOffset>
            </wp:positionV>
            <wp:extent cx="3910957" cy="3647856"/>
            <wp:effectExtent l="0" t="0" r="0" b="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57" cy="364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A1439" w14:textId="59E47937" w:rsidR="00620F3D" w:rsidRDefault="00620F3D" w:rsidP="00620F3D">
      <w:pPr>
        <w:tabs>
          <w:tab w:val="left" w:pos="990"/>
        </w:tabs>
      </w:pPr>
    </w:p>
    <w:p w14:paraId="7236A4DF" w14:textId="1993329C" w:rsidR="00620F3D" w:rsidRDefault="00620F3D" w:rsidP="00620F3D">
      <w:pPr>
        <w:tabs>
          <w:tab w:val="left" w:pos="990"/>
        </w:tabs>
      </w:pPr>
    </w:p>
    <w:p w14:paraId="355FFADF" w14:textId="77777777" w:rsidR="00620F3D" w:rsidRDefault="00620F3D" w:rsidP="00620F3D">
      <w:pPr>
        <w:tabs>
          <w:tab w:val="left" w:pos="990"/>
        </w:tabs>
      </w:pPr>
    </w:p>
    <w:p w14:paraId="3E27FA3B" w14:textId="77777777" w:rsidR="00620F3D" w:rsidRDefault="00620F3D" w:rsidP="00620F3D">
      <w:pPr>
        <w:tabs>
          <w:tab w:val="left" w:pos="990"/>
        </w:tabs>
      </w:pPr>
    </w:p>
    <w:p w14:paraId="1EB76C46" w14:textId="77777777" w:rsidR="00620F3D" w:rsidRDefault="00620F3D" w:rsidP="00620F3D">
      <w:pPr>
        <w:tabs>
          <w:tab w:val="left" w:pos="990"/>
        </w:tabs>
      </w:pPr>
    </w:p>
    <w:p w14:paraId="7DC16DCD" w14:textId="77777777" w:rsidR="00620F3D" w:rsidRDefault="00620F3D" w:rsidP="00620F3D">
      <w:pPr>
        <w:tabs>
          <w:tab w:val="left" w:pos="990"/>
        </w:tabs>
      </w:pPr>
    </w:p>
    <w:p w14:paraId="009E5068" w14:textId="77777777" w:rsidR="00620F3D" w:rsidRDefault="00620F3D" w:rsidP="00620F3D">
      <w:pPr>
        <w:tabs>
          <w:tab w:val="left" w:pos="990"/>
        </w:tabs>
      </w:pPr>
    </w:p>
    <w:p w14:paraId="547F4DDE" w14:textId="77777777" w:rsidR="00620F3D" w:rsidRPr="00017E54" w:rsidRDefault="00620F3D" w:rsidP="00620F3D"/>
    <w:p w14:paraId="32DB1E4F" w14:textId="77777777" w:rsidR="00620F3D" w:rsidRPr="00017E54" w:rsidRDefault="00620F3D" w:rsidP="00620F3D"/>
    <w:p w14:paraId="1B2687C8" w14:textId="77777777" w:rsidR="00620F3D" w:rsidRPr="00017E54" w:rsidRDefault="00620F3D" w:rsidP="00620F3D"/>
    <w:p w14:paraId="3033B748" w14:textId="77777777" w:rsidR="00620F3D" w:rsidRDefault="00620F3D" w:rsidP="00620F3D"/>
    <w:p w14:paraId="49534478" w14:textId="76C308DC" w:rsidR="00FC6C3D" w:rsidRPr="00FC6C3D" w:rsidRDefault="00FC6C3D" w:rsidP="00FC6C3D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AChE</w:t>
      </w:r>
      <w:proofErr w:type="spellEnd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attacks the ester substrate through a serine hydroxyl, forming a covalent acyl-enzyme complex. The serine is activated as a nucleophile by the glutamic acid and histidine residues that serve as the proton sink to attack the carbonyl carbon of </w:t>
      </w:r>
      <w:proofErr w:type="spellStart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ACh</w:t>
      </w:r>
      <w:proofErr w:type="spellEnd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. Choline is released, leaving the acetylated serine residue on the enzyme. The acetyl-enzyme intermediate is cleaved by a general base catalysis mechanism to regenerate the free enzyme.</w:t>
      </w:r>
    </w:p>
    <w:p w14:paraId="1A769BA5" w14:textId="77777777" w:rsidR="00FC6C3D" w:rsidRPr="00FC6C3D" w:rsidRDefault="00FC6C3D" w:rsidP="00FC6C3D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If instead of acetyl group there is </w:t>
      </w:r>
      <w:r w:rsidRPr="00FC6C3D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en-GB"/>
        </w:rPr>
        <w:t xml:space="preserve">carbamate group </w:t>
      </w:r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then hydrolysis will be </w:t>
      </w:r>
      <w:r w:rsidRPr="00FC6C3D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en-GB"/>
        </w:rPr>
        <w:t xml:space="preserve">resisted. </w:t>
      </w:r>
    </w:p>
    <w:p w14:paraId="533DB992" w14:textId="2CE8BCB6" w:rsidR="00FC6C3D" w:rsidRPr="00FC6C3D" w:rsidRDefault="00FC6C3D" w:rsidP="00FC6C3D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The </w:t>
      </w:r>
      <w:proofErr w:type="spellStart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AchE</w:t>
      </w:r>
      <w:proofErr w:type="spellEnd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which is not hydrolyzed cannot be used again. </w:t>
      </w:r>
      <w:r w:rsidR="004D1F15"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Thus,</w:t>
      </w:r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goal of </w:t>
      </w:r>
      <w:proofErr w:type="spellStart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AchE</w:t>
      </w:r>
      <w:proofErr w:type="spellEnd"/>
      <w:r w:rsidRPr="00FC6C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 xml:space="preserve"> inhibitor is to provide such hydrolysis resistant functional group such as carbamates or phosphate ester.</w:t>
      </w:r>
    </w:p>
    <w:p w14:paraId="3DE0FFAC" w14:textId="77777777" w:rsidR="00620F3D" w:rsidRPr="00FC6C3D" w:rsidRDefault="00620F3D" w:rsidP="00620F3D">
      <w:pPr>
        <w:rPr>
          <w:sz w:val="24"/>
          <w:szCs w:val="24"/>
          <w:lang w:val="en-GB"/>
        </w:rPr>
      </w:pPr>
    </w:p>
    <w:p w14:paraId="187F0AE1" w14:textId="77777777" w:rsidR="00C30A2A" w:rsidRDefault="00C30A2A" w:rsidP="00C30A2A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6D83DCF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proofErr w:type="spellStart"/>
      <w:proofErr w:type="gramStart"/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>Semireversible</w:t>
      </w:r>
      <w:proofErr w:type="spellEnd"/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>inhibitors</w:t>
      </w:r>
      <w:proofErr w:type="gramEnd"/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of </w:t>
      </w:r>
      <w:proofErr w:type="spellStart"/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>AChE</w:t>
      </w:r>
      <w:proofErr w:type="spellEnd"/>
      <w:r w:rsidRPr="00193EA7"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14:paraId="40C80EA2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55E62DEC" w14:textId="7DE5B0B8" w:rsidR="00290975" w:rsidRPr="00193EA7" w:rsidRDefault="007C595B" w:rsidP="007C595B">
      <w:pPr>
        <w:pStyle w:val="NoSpacing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object w:dxaOrig="8279" w:dyaOrig="1766" w14:anchorId="753674E2">
          <v:shape id="_x0000_i1028" type="#_x0000_t75" style="width:329.25pt;height:70.5pt" o:ole="">
            <v:imagedata r:id="rId18" o:title=""/>
          </v:shape>
          <o:OLEObject Type="Embed" ProgID="ChemDraw.Document.6.0" ShapeID="_x0000_i1028" DrawAspect="Content" ObjectID="_1759860979" r:id="rId19"/>
        </w:object>
      </w:r>
    </w:p>
    <w:p w14:paraId="7A7CA51A" w14:textId="77777777" w:rsidR="00290975" w:rsidRPr="00017E54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1AD6C5A4" w14:textId="77777777" w:rsidR="00290975" w:rsidRPr="00017E54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Carbamates such as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carbachol are also able to serve as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substrates for </w:t>
      </w:r>
      <w:proofErr w:type="spellStart"/>
      <w:r w:rsidRPr="00017E5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017E54">
        <w:rPr>
          <w:rFonts w:asciiTheme="majorBidi" w:hAnsiTheme="majorBidi" w:cstheme="majorBidi"/>
          <w:b/>
          <w:bCs/>
          <w:sz w:val="24"/>
          <w:szCs w:val="24"/>
        </w:rPr>
        <w:t>, forming a carbamylated enzyme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inter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mediate (E—C). The rate of </w:t>
      </w:r>
      <w:proofErr w:type="spellStart"/>
      <w:r w:rsidRPr="00017E54">
        <w:rPr>
          <w:rFonts w:asciiTheme="majorBidi" w:hAnsiTheme="majorBidi" w:cstheme="majorBidi"/>
          <w:b/>
          <w:bCs/>
          <w:sz w:val="24"/>
          <w:szCs w:val="24"/>
        </w:rPr>
        <w:t>carbamylation</w:t>
      </w:r>
      <w:proofErr w:type="spellEnd"/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 (k</w:t>
      </w:r>
      <w:r w:rsidRPr="00017E5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) is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slower than </w:t>
      </w:r>
    </w:p>
    <w:p w14:paraId="3C68ED56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the rate of acetylation. Hydrolysis </w:t>
      </w:r>
      <w:r>
        <w:rPr>
          <w:rFonts w:asciiTheme="majorBidi" w:hAnsiTheme="majorBidi" w:cstheme="majorBidi"/>
          <w:b/>
          <w:bCs/>
          <w:sz w:val="24"/>
          <w:szCs w:val="24"/>
        </w:rPr>
        <w:t>(K</w:t>
      </w:r>
      <w:r w:rsidRPr="00017E5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decarbamylation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carbamyl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-e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nzyme intermediate is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017E5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7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times sl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ow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er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than that of its acetyl counterpart. The slower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hydrolysis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rate limits the optimal func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tional capacity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allow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ing carbamate substrate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 to be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semireversible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inhibitors of </w:t>
      </w:r>
      <w:proofErr w:type="spellStart"/>
      <w:r w:rsidRPr="00017E5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017E54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 this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 mechanism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EE7CD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 is rate-limiting. </w:t>
      </w:r>
    </w:p>
    <w:p w14:paraId="2065BE08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A37FED0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1375D75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Note:-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rate K</w:t>
      </w:r>
      <w:r w:rsidRPr="00873D7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depends not only on the nature of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alcohol moiety of the ester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but also on the type of </w:t>
      </w:r>
      <w:proofErr w:type="spellStart"/>
      <w:r w:rsidRPr="00873D72">
        <w:rPr>
          <w:rFonts w:asciiTheme="majorBidi" w:hAnsiTheme="majorBidi" w:cstheme="majorBidi"/>
          <w:b/>
          <w:bCs/>
          <w:sz w:val="24"/>
          <w:szCs w:val="24"/>
        </w:rPr>
        <w:t>carbamyl</w:t>
      </w:r>
      <w:proofErr w:type="spellEnd"/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 ester. Esters of </w:t>
      </w:r>
      <w:proofErr w:type="spellStart"/>
      <w:r w:rsidRPr="00873D72">
        <w:rPr>
          <w:rFonts w:asciiTheme="majorBidi" w:hAnsiTheme="majorBidi" w:cstheme="majorBidi"/>
          <w:b/>
          <w:bCs/>
          <w:sz w:val="24"/>
          <w:szCs w:val="24"/>
        </w:rPr>
        <w:t>carhamic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acid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are bet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ter carbamylating agent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than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methylcarbam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dim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ethylcarbamyl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40940EC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020C7B66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3E6AD7B" w14:textId="77777777" w:rsidR="00290975" w:rsidRPr="00873D72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9206" w:dyaOrig="1865" w14:anchorId="452EF860">
          <v:shape id="_x0000_i1029" type="#_x0000_t75" style="width:460.5pt;height:93pt" o:ole="">
            <v:imagedata r:id="rId20" o:title=""/>
          </v:shape>
          <o:OLEObject Type="Embed" ProgID="ChemDraw.Document.6.0" ShapeID="_x0000_i1029" DrawAspect="Content" ObjectID="_1759860980" r:id="rId21"/>
        </w:object>
      </w:r>
    </w:p>
    <w:p w14:paraId="339A0EB8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8337AD1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29FB72D4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83BF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Irreversible inhibitor of </w:t>
      </w:r>
      <w:proofErr w:type="spellStart"/>
      <w:r w:rsidRPr="00A83BF6">
        <w:rPr>
          <w:rFonts w:asciiTheme="majorBidi" w:hAnsiTheme="majorBidi" w:cstheme="majorBidi"/>
          <w:b/>
          <w:bCs/>
          <w:color w:val="0070C0"/>
          <w:sz w:val="28"/>
          <w:szCs w:val="28"/>
        </w:rPr>
        <w:t>AChE</w:t>
      </w:r>
      <w:proofErr w:type="spellEnd"/>
    </w:p>
    <w:p w14:paraId="2E70ECC2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object w:dxaOrig="8296" w:dyaOrig="1841" w14:anchorId="35FB5D42">
          <v:shape id="_x0000_i1030" type="#_x0000_t75" style="width:414.75pt;height:92.25pt" o:ole="">
            <v:imagedata r:id="rId22" o:title=""/>
          </v:shape>
          <o:OLEObject Type="Embed" ProgID="ChemDraw.Document.6.0" ShapeID="_x0000_i1030" DrawAspect="Content" ObjectID="_1759860981" r:id="rId23"/>
        </w:object>
      </w:r>
    </w:p>
    <w:p w14:paraId="3D379BBA" w14:textId="77777777" w:rsidR="00290975" w:rsidRPr="00A83BF6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195E12D4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Organophospha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e esters of selected compounds can also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esterify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the serine residue in the active site of </w:t>
      </w:r>
      <w:proofErr w:type="spellStart"/>
      <w:r w:rsidRPr="00873D72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873D72">
        <w:rPr>
          <w:rFonts w:asciiTheme="majorBidi" w:hAnsiTheme="majorBidi" w:cstheme="majorBidi"/>
          <w:b/>
          <w:bCs/>
          <w:sz w:val="24"/>
          <w:szCs w:val="24"/>
        </w:rPr>
        <w:t>.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hydrolysis rate (k</w:t>
      </w:r>
      <w:r w:rsidRPr="00A83BF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) of the phosphorylated serine is extremely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slow, and hydrolysis to the free enzyme and phosphoric acid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derivative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is so limited that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inhibition is considered irrever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sible.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These </w:t>
      </w:r>
      <w:proofErr w:type="spellStart"/>
      <w:r w:rsidRPr="00873D72">
        <w:rPr>
          <w:rFonts w:asciiTheme="majorBidi" w:hAnsiTheme="majorBidi" w:cstheme="majorBidi"/>
          <w:b/>
          <w:bCs/>
          <w:sz w:val="24"/>
          <w:szCs w:val="24"/>
        </w:rPr>
        <w:t>organ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>phosphorous</w:t>
      </w:r>
      <w:proofErr w:type="spellEnd"/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 compounds are used 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treatment of glaucoma, as agricultural insecticides,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and, at times, as </w:t>
      </w:r>
      <w:r w:rsidRPr="00873D72">
        <w:rPr>
          <w:rFonts w:asciiTheme="majorBidi" w:hAnsiTheme="majorBidi" w:cstheme="majorBidi"/>
          <w:b/>
          <w:bCs/>
          <w:sz w:val="24"/>
          <w:szCs w:val="24"/>
        </w:rPr>
        <w:t xml:space="preserve">nerve gases in warfare and bioterrorism. </w:t>
      </w:r>
    </w:p>
    <w:p w14:paraId="0EF89093" w14:textId="77777777" w:rsidR="009E0492" w:rsidRDefault="009E0492" w:rsidP="00290975">
      <w:pPr>
        <w:pStyle w:val="NoSpacing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</w:pPr>
    </w:p>
    <w:p w14:paraId="490503D7" w14:textId="61016E7D" w:rsidR="00290975" w:rsidRPr="00A8159C" w:rsidRDefault="00290975" w:rsidP="00290975">
      <w:pPr>
        <w:pStyle w:val="NoSpacing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</w:pPr>
      <w:r w:rsidRPr="00CF0461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Reversible Inhibitors</w:t>
      </w:r>
    </w:p>
    <w:p w14:paraId="60712B1E" w14:textId="77777777" w:rsidR="00290975" w:rsidRPr="00A8159C" w:rsidRDefault="00290975" w:rsidP="00290975">
      <w:pPr>
        <w:pStyle w:val="NoSpacing"/>
        <w:numPr>
          <w:ilvl w:val="0"/>
          <w:numId w:val="30"/>
        </w:numPr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CF0461">
        <w:rPr>
          <w:rFonts w:asciiTheme="majorBidi" w:hAnsiTheme="majorBidi" w:cstheme="majorBidi"/>
          <w:b/>
          <w:bCs/>
          <w:color w:val="00B050"/>
          <w:sz w:val="24"/>
          <w:szCs w:val="24"/>
        </w:rPr>
        <w:t>Physostigmine</w:t>
      </w:r>
    </w:p>
    <w:p w14:paraId="708FF9D5" w14:textId="3D3623A8" w:rsidR="00290975" w:rsidRDefault="00241061" w:rsidP="0029097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5124" w:dyaOrig="3540" w14:anchorId="0735736A">
          <v:shape id="_x0000_i1031" type="#_x0000_t75" style="width:124.5pt;height:85.5pt" o:ole="">
            <v:imagedata r:id="rId24" o:title=""/>
          </v:shape>
          <o:OLEObject Type="Embed" ProgID="ChemDraw.Document.6.0" ShapeID="_x0000_i1031" DrawAspect="Content" ObjectID="_1759860982" r:id="rId25"/>
        </w:object>
      </w:r>
    </w:p>
    <w:p w14:paraId="5E705BB6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177B2E5C" w14:textId="77777777" w:rsidR="00290975" w:rsidRPr="003B2237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3B2237">
        <w:rPr>
          <w:rFonts w:asciiTheme="majorBidi" w:hAnsiTheme="majorBidi" w:cstheme="majorBidi"/>
          <w:b/>
          <w:bCs/>
          <w:sz w:val="24"/>
          <w:szCs w:val="24"/>
        </w:rPr>
        <w:t>Physostigmine is an alkaloid ob</w:t>
      </w:r>
      <w:r>
        <w:rPr>
          <w:rFonts w:asciiTheme="majorBidi" w:hAnsiTheme="majorBidi" w:cstheme="majorBidi"/>
          <w:b/>
          <w:bCs/>
          <w:sz w:val="24"/>
          <w:szCs w:val="24"/>
        </w:rPr>
        <w:t>ta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ined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rom the dried ripe seed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Physostigma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venenosum</w:t>
      </w:r>
      <w:proofErr w:type="spellEnd"/>
      <w:r w:rsidRPr="003B223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BAE3FB5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alkaloid, as the free base, is quite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sensitive to heat, light, moisture, and bases, undergoing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rapid decomposition. In solution it is hydrolyzed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methyl carbami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 acid and eseroline,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neither of which inhibits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B2237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3B2237">
        <w:rPr>
          <w:rFonts w:asciiTheme="majorBidi" w:hAnsiTheme="majorBidi" w:cstheme="majorBidi"/>
          <w:b/>
          <w:bCs/>
          <w:sz w:val="24"/>
          <w:szCs w:val="24"/>
        </w:rPr>
        <w:t>. Eseroline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is oxidized to a red compound,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rubreserine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and 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en further decomposed to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eserine</w:t>
      </w:r>
      <w:proofErr w:type="spellEnd"/>
      <w:r w:rsidRPr="003B2237">
        <w:rPr>
          <w:rFonts w:asciiTheme="majorBidi" w:hAnsiTheme="majorBidi" w:cstheme="majorBidi"/>
          <w:b/>
          <w:bCs/>
          <w:sz w:val="24"/>
          <w:szCs w:val="24"/>
        </w:rPr>
        <w:t xml:space="preserve"> blue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eserine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brown. Addition of sulfite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or ascorbic acid prevents oxi</w:t>
      </w:r>
      <w:r>
        <w:rPr>
          <w:rFonts w:asciiTheme="majorBidi" w:hAnsiTheme="majorBidi" w:cstheme="majorBidi"/>
          <w:b/>
          <w:bCs/>
          <w:sz w:val="24"/>
          <w:szCs w:val="24"/>
        </w:rPr>
        <w:t>da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the phenol. Eseroline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proofErr w:type="spellStart"/>
      <w:r w:rsidRPr="003B2237">
        <w:rPr>
          <w:rFonts w:asciiTheme="majorBidi" w:hAnsiTheme="majorBidi" w:cstheme="majorBidi"/>
          <w:b/>
          <w:bCs/>
          <w:sz w:val="24"/>
          <w:szCs w:val="24"/>
        </w:rPr>
        <w:t>rubreserine</w:t>
      </w:r>
      <w:proofErr w:type="spellEnd"/>
      <w:r w:rsidRPr="003B2237">
        <w:rPr>
          <w:rFonts w:asciiTheme="majorBidi" w:hAnsiTheme="majorBidi" w:cstheme="majorBidi"/>
          <w:b/>
          <w:bCs/>
          <w:sz w:val="24"/>
          <w:szCs w:val="24"/>
        </w:rPr>
        <w:t>. Hydrolysis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does take place,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 xml:space="preserve">however, and the physostigmine is </w:t>
      </w:r>
      <w:r>
        <w:rPr>
          <w:rFonts w:asciiTheme="majorBidi" w:hAnsiTheme="majorBidi" w:cstheme="majorBidi"/>
          <w:b/>
          <w:bCs/>
          <w:sz w:val="24"/>
          <w:szCs w:val="24"/>
        </w:rPr>
        <w:t>inactivated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2237">
        <w:rPr>
          <w:rFonts w:asciiTheme="majorBidi" w:hAnsiTheme="majorBidi" w:cstheme="majorBidi"/>
          <w:b/>
          <w:bCs/>
          <w:sz w:val="24"/>
          <w:szCs w:val="24"/>
        </w:rPr>
        <w:t>Solutions are most stable at pH 6 and should neve</w:t>
      </w:r>
      <w:r>
        <w:rPr>
          <w:rFonts w:asciiTheme="majorBidi" w:hAnsiTheme="majorBidi" w:cstheme="majorBidi"/>
          <w:b/>
          <w:bCs/>
          <w:sz w:val="24"/>
          <w:szCs w:val="24"/>
        </w:rPr>
        <w:t>r be sterilized by heat.</w:t>
      </w:r>
    </w:p>
    <w:p w14:paraId="16CEFD1D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1DD10CD7" w14:textId="2E781BB1" w:rsidR="00290975" w:rsidRPr="003F53FE" w:rsidRDefault="00241061" w:rsidP="00290975">
      <w:pPr>
        <w:jc w:val="center"/>
      </w:pPr>
      <w:r>
        <w:object w:dxaOrig="10414" w:dyaOrig="9024" w14:anchorId="28995318">
          <v:shape id="_x0000_i1032" type="#_x0000_t75" style="width:254.25pt;height:221.25pt" o:ole="">
            <v:imagedata r:id="rId26" o:title=""/>
          </v:shape>
          <o:OLEObject Type="Embed" ProgID="ChemDraw.Document.6.0" ShapeID="_x0000_i1032" DrawAspect="Content" ObjectID="_1759860983" r:id="rId27"/>
        </w:object>
      </w:r>
    </w:p>
    <w:p w14:paraId="66A39925" w14:textId="77777777" w:rsidR="008E7C73" w:rsidRDefault="008E7C73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7CA662E" w14:textId="20804CD3" w:rsidR="00DC3EF5" w:rsidRDefault="00241061" w:rsidP="00290975">
      <w:pPr>
        <w:pStyle w:val="NoSpacing"/>
        <w:rPr>
          <w:rFonts w:ascii="Times New Roman" w:hAnsi="Times New Roman" w:cs="Times New Roman"/>
          <w:color w:val="231F20"/>
          <w:sz w:val="24"/>
          <w:szCs w:val="24"/>
        </w:rPr>
      </w:pPr>
      <w:r w:rsidRPr="00241061">
        <w:rPr>
          <w:rFonts w:ascii="Times New Roman" w:hAnsi="Times New Roman" w:cs="Times New Roman"/>
          <w:color w:val="231F20"/>
          <w:sz w:val="24"/>
          <w:szCs w:val="24"/>
        </w:rPr>
        <w:t>SAR studies of physostigmine demonstrate that:</w:t>
      </w:r>
    </w:p>
    <w:p w14:paraId="75100BB9" w14:textId="039EA695" w:rsidR="00556637" w:rsidRDefault="00556637" w:rsidP="00290975">
      <w:pPr>
        <w:pStyle w:val="NoSpacing"/>
        <w:rPr>
          <w:rFonts w:ascii="Times New Roman" w:hAnsi="Times New Roman" w:cs="Times New Roman"/>
          <w:color w:val="231F20"/>
          <w:sz w:val="24"/>
          <w:szCs w:val="24"/>
        </w:rPr>
      </w:pPr>
    </w:p>
    <w:p w14:paraId="786944AB" w14:textId="797C4A34" w:rsidR="00556637" w:rsidRDefault="00556637" w:rsidP="00290975">
      <w:pPr>
        <w:pStyle w:val="NoSpacing"/>
        <w:rPr>
          <w:rFonts w:ascii="Times New Roman" w:hAnsi="Times New Roman" w:cs="Times New Roman"/>
          <w:color w:val="231F20"/>
          <w:sz w:val="24"/>
          <w:szCs w:val="24"/>
        </w:rPr>
      </w:pPr>
    </w:p>
    <w:p w14:paraId="3037B749" w14:textId="77777777" w:rsidR="00556637" w:rsidRDefault="00556637" w:rsidP="00290975">
      <w:pPr>
        <w:pStyle w:val="NoSpacing"/>
        <w:rPr>
          <w:rFonts w:ascii="Times New Roman" w:hAnsi="Times New Roman" w:cs="Times New Roman"/>
          <w:color w:val="231F20"/>
          <w:sz w:val="24"/>
          <w:szCs w:val="24"/>
        </w:rPr>
      </w:pPr>
    </w:p>
    <w:p w14:paraId="54CB4E1E" w14:textId="6CD2625E" w:rsidR="00DC3EF5" w:rsidRDefault="00DC3EF5" w:rsidP="00290975">
      <w:pPr>
        <w:pStyle w:val="NoSpacing"/>
        <w:rPr>
          <w:rFonts w:ascii="Times New Roman" w:hAnsi="Times New Roman" w:cs="Times New Roman"/>
          <w:color w:val="231F20"/>
          <w:sz w:val="24"/>
          <w:szCs w:val="24"/>
        </w:rPr>
      </w:pPr>
      <w:r>
        <w:object w:dxaOrig="9526" w:dyaOrig="3187" w14:anchorId="655329DF">
          <v:shape id="_x0000_i1033" type="#_x0000_t75" style="width:301.5pt;height:101.25pt" o:ole="">
            <v:imagedata r:id="rId28" o:title=""/>
          </v:shape>
          <o:OLEObject Type="Embed" ProgID="ChemDraw.Document.6.0" ShapeID="_x0000_i1033" DrawAspect="Content" ObjectID="_1759860984" r:id="rId29"/>
        </w:object>
      </w:r>
    </w:p>
    <w:p w14:paraId="3642933F" w14:textId="0ABECD01" w:rsidR="008E7C73" w:rsidRPr="00241061" w:rsidRDefault="00241061" w:rsidP="002909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1061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color w:val="0078AE"/>
          <w:sz w:val="24"/>
          <w:szCs w:val="24"/>
        </w:rPr>
        <w:t xml:space="preserve">a. 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t>the carbamate group is essential to activity;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color w:val="0078AE"/>
          <w:sz w:val="24"/>
          <w:szCs w:val="24"/>
        </w:rPr>
        <w:t xml:space="preserve">b. 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t>the benzene ring is important;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color w:val="0078AE"/>
          <w:sz w:val="24"/>
          <w:szCs w:val="24"/>
        </w:rPr>
        <w:t xml:space="preserve">c. </w:t>
      </w:r>
      <w:r w:rsidRPr="00241061">
        <w:rPr>
          <w:rFonts w:ascii="Times New Roman" w:hAnsi="Times New Roman" w:cs="Times New Roman"/>
          <w:color w:val="0078AE"/>
          <w:sz w:val="24"/>
          <w:szCs w:val="24"/>
        </w:rPr>
        <w:t xml:space="preserve"> 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t>the pyrrolidine nitrogen is important and is ionized 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061">
        <w:rPr>
          <w:rFonts w:ascii="Times New Roman" w:hAnsi="Times New Roman" w:cs="Times New Roman"/>
          <w:color w:val="231F20"/>
          <w:sz w:val="24"/>
          <w:szCs w:val="24"/>
        </w:rPr>
        <w:t>blood pH</w:t>
      </w:r>
    </w:p>
    <w:p w14:paraId="2B2A4ADC" w14:textId="77777777" w:rsidR="008E7C73" w:rsidRDefault="008E7C73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7E65CA2" w14:textId="331797E0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A0300E">
        <w:rPr>
          <w:rFonts w:asciiTheme="majorBidi" w:hAnsiTheme="majorBidi" w:cstheme="majorBidi"/>
          <w:b/>
          <w:bCs/>
          <w:sz w:val="24"/>
          <w:szCs w:val="24"/>
        </w:rPr>
        <w:t>Physosti</w:t>
      </w:r>
      <w:r>
        <w:rPr>
          <w:rFonts w:asciiTheme="majorBidi" w:hAnsiTheme="majorBidi" w:cstheme="majorBidi"/>
          <w:b/>
          <w:bCs/>
          <w:sz w:val="24"/>
          <w:szCs w:val="24"/>
        </w:rPr>
        <w:t>gmine is a relatively poor carba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mylating agent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300E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 and is often considered a reversible inhibitor of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enzyme. Its cholinesterase-inhibiting properties vary with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pH of the medium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. The conjugate acid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physostigmine has 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of about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8,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and as the pH of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solution is lowered, more is present in the protonated form.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Inhibition of cholinesterase is greater in acid media, suggesting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that the protonated form </w:t>
      </w:r>
      <w:proofErr w:type="gramStart"/>
      <w:r w:rsidRPr="00A0300E">
        <w:rPr>
          <w:rFonts w:asciiTheme="majorBidi" w:hAnsiTheme="majorBidi" w:cstheme="majorBidi"/>
          <w:b/>
          <w:bCs/>
          <w:sz w:val="24"/>
          <w:szCs w:val="24"/>
        </w:rPr>
        <w:t>makes a contribution</w:t>
      </w:r>
      <w:proofErr w:type="gramEnd"/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 to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inhibitory activity well as its </w:t>
      </w:r>
      <w:proofErr w:type="spellStart"/>
      <w:r w:rsidRPr="00A0300E">
        <w:rPr>
          <w:rFonts w:asciiTheme="majorBidi" w:hAnsiTheme="majorBidi" w:cstheme="majorBidi"/>
          <w:b/>
          <w:bCs/>
          <w:sz w:val="24"/>
          <w:szCs w:val="24"/>
        </w:rPr>
        <w:t>carbamylation</w:t>
      </w:r>
      <w:proofErr w:type="spellEnd"/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 of the enzyme.</w:t>
      </w:r>
    </w:p>
    <w:p w14:paraId="5B7CAC75" w14:textId="77777777" w:rsidR="00290975" w:rsidRDefault="00290975" w:rsidP="0029097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7315" w:dyaOrig="4898" w14:anchorId="1D15924B">
          <v:shape id="_x0000_i1034" type="#_x0000_t75" style="width:263.25pt;height:176.25pt" o:ole="">
            <v:imagedata r:id="rId30" o:title=""/>
          </v:shape>
          <o:OLEObject Type="Embed" ProgID="ChemDraw.Document.6.0" ShapeID="_x0000_i1034" DrawAspect="Content" ObjectID="_1759860985" r:id="rId31"/>
        </w:object>
      </w:r>
    </w:p>
    <w:p w14:paraId="58F0FD36" w14:textId="77777777" w:rsidR="00290975" w:rsidRDefault="00290975" w:rsidP="0029097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2EF25C" w14:textId="77777777" w:rsidR="00290975" w:rsidRPr="00CF0461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F0461">
        <w:rPr>
          <w:rFonts w:asciiTheme="majorBidi" w:hAnsiTheme="majorBidi" w:cstheme="majorBidi"/>
          <w:b/>
          <w:bCs/>
          <w:color w:val="0070C0"/>
          <w:sz w:val="24"/>
          <w:szCs w:val="24"/>
        </w:rPr>
        <w:t>Uses of physostigmine</w:t>
      </w:r>
    </w:p>
    <w:p w14:paraId="141482EC" w14:textId="77777777" w:rsidR="00290975" w:rsidRPr="00A0300E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1EF66DB" w14:textId="77777777" w:rsidR="00290975" w:rsidRDefault="00290975" w:rsidP="00290975">
      <w:pPr>
        <w:pStyle w:val="NoSpacing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0300E">
        <w:rPr>
          <w:rFonts w:asciiTheme="majorBidi" w:hAnsiTheme="majorBidi" w:cstheme="majorBidi"/>
          <w:b/>
          <w:bCs/>
          <w:sz w:val="24"/>
          <w:szCs w:val="24"/>
        </w:rPr>
        <w:t>Physostigmine was used first as a topical application in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treatment of glaucoma. Its lipid solu</w:t>
      </w:r>
      <w:r>
        <w:rPr>
          <w:rFonts w:asciiTheme="majorBidi" w:hAnsiTheme="majorBidi" w:cstheme="majorBidi"/>
          <w:b/>
          <w:bCs/>
          <w:sz w:val="24"/>
          <w:szCs w:val="24"/>
        </w:rPr>
        <w:t>bility propertie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s permit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adequate absorption from ointment bases. </w:t>
      </w:r>
    </w:p>
    <w:p w14:paraId="2C250856" w14:textId="77777777" w:rsidR="0022517E" w:rsidRDefault="00290975" w:rsidP="0022517E">
      <w:pPr>
        <w:pStyle w:val="NoSpacing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0300E">
        <w:rPr>
          <w:rFonts w:asciiTheme="majorBidi" w:hAnsiTheme="majorBidi" w:cstheme="majorBidi"/>
          <w:b/>
          <w:bCs/>
          <w:sz w:val="24"/>
          <w:szCs w:val="24"/>
        </w:rPr>
        <w:t>It is used systemically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as an antidote for atropine poisoning and other anticholinergic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>drugs by increasing the duration of action of Ach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00E">
        <w:rPr>
          <w:rFonts w:asciiTheme="majorBidi" w:hAnsiTheme="majorBidi" w:cstheme="majorBidi"/>
          <w:b/>
          <w:bCs/>
          <w:sz w:val="24"/>
          <w:szCs w:val="24"/>
        </w:rPr>
        <w:t xml:space="preserve">at cholinergic sites through inhibition of </w:t>
      </w:r>
      <w:proofErr w:type="spellStart"/>
      <w:r w:rsidRPr="00A0300E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A0300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DA50106" w14:textId="1476C9B6" w:rsidR="00266265" w:rsidRPr="0022517E" w:rsidRDefault="00290975" w:rsidP="0022517E">
      <w:pPr>
        <w:pStyle w:val="NoSpacing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2517E">
        <w:rPr>
          <w:rFonts w:asciiTheme="majorBidi" w:hAnsiTheme="majorBidi" w:cstheme="majorBidi"/>
          <w:b/>
          <w:bCs/>
        </w:rPr>
        <w:t>Physostigmine, along with other cholinomimetic drugs acting in the CNS, and has been use in the treatment of Alzheimer's disease</w:t>
      </w:r>
      <w:r w:rsidR="00531409" w:rsidRPr="0022517E">
        <w:rPr>
          <w:rFonts w:asciiTheme="majorBidi" w:hAnsiTheme="majorBidi" w:cstheme="majorBidi"/>
          <w:b/>
          <w:bCs/>
        </w:rPr>
        <w:t xml:space="preserve"> </w:t>
      </w:r>
      <w:r w:rsidR="00531409" w:rsidRPr="0022517E">
        <w:rPr>
          <w:rFonts w:asciiTheme="majorBidi" w:hAnsiTheme="majorBidi" w:cstheme="majorBidi"/>
          <w:b/>
          <w:bCs/>
          <w:color w:val="FF0000"/>
        </w:rPr>
        <w:t>because i</w:t>
      </w:r>
      <w:r w:rsidR="00266265" w:rsidRPr="0022517E">
        <w:rPr>
          <w:rFonts w:asciiTheme="majorBidi" w:hAnsiTheme="majorBidi" w:cstheme="majorBidi"/>
          <w:b/>
          <w:bCs/>
          <w:color w:val="FF0000"/>
        </w:rPr>
        <w:t xml:space="preserve">t has no charged amine and is more </w:t>
      </w:r>
      <w:proofErr w:type="spellStart"/>
      <w:r w:rsidR="00266265" w:rsidRPr="0022517E">
        <w:rPr>
          <w:rFonts w:asciiTheme="majorBidi" w:hAnsiTheme="majorBidi" w:cstheme="majorBidi"/>
          <w:b/>
          <w:bCs/>
          <w:color w:val="FF0000"/>
        </w:rPr>
        <w:t>lipophillic</w:t>
      </w:r>
      <w:proofErr w:type="spellEnd"/>
      <w:r w:rsidR="00266265" w:rsidRPr="0022517E">
        <w:rPr>
          <w:rFonts w:asciiTheme="majorBidi" w:hAnsiTheme="majorBidi" w:cstheme="majorBidi"/>
          <w:b/>
          <w:bCs/>
          <w:color w:val="FF0000"/>
        </w:rPr>
        <w:t xml:space="preserve"> and can thus penetrate the blood brain barrier</w:t>
      </w:r>
      <w:r w:rsidR="00531409" w:rsidRPr="0022517E">
        <w:rPr>
          <w:rFonts w:asciiTheme="majorBidi" w:hAnsiTheme="majorBidi" w:cstheme="majorBidi"/>
          <w:b/>
          <w:bCs/>
          <w:color w:val="FF0000"/>
        </w:rPr>
        <w:t>.</w:t>
      </w:r>
    </w:p>
    <w:p w14:paraId="79D048D5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3E510E2" w14:textId="647F31E0" w:rsidR="00290975" w:rsidRPr="00E76713" w:rsidRDefault="00290975" w:rsidP="00290975">
      <w:pPr>
        <w:pStyle w:val="NoSpacing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highlight w:val="yellow"/>
        </w:rPr>
      </w:pPr>
    </w:p>
    <w:p w14:paraId="45C09CF0" w14:textId="7EA94DB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4"/>
          <w:szCs w:val="24"/>
          <w:highlight w:val="yellow"/>
        </w:rPr>
      </w:pPr>
    </w:p>
    <w:p w14:paraId="40176289" w14:textId="5C2C01C0" w:rsidR="00556637" w:rsidRDefault="00556637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F4C16BE" w14:textId="77777777" w:rsidR="00556637" w:rsidRPr="001A5A0E" w:rsidRDefault="00556637" w:rsidP="00290975">
      <w:pPr>
        <w:pStyle w:val="NoSpacing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09518665" w14:textId="77777777" w:rsidR="00290975" w:rsidRPr="0049652D" w:rsidRDefault="00290975" w:rsidP="00290975">
      <w:pPr>
        <w:pStyle w:val="NoSpacing"/>
        <w:numPr>
          <w:ilvl w:val="0"/>
          <w:numId w:val="32"/>
        </w:numPr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49652D">
        <w:rPr>
          <w:rFonts w:asciiTheme="majorBidi" w:hAnsiTheme="majorBidi" w:cstheme="majorBidi"/>
          <w:b/>
          <w:bCs/>
          <w:color w:val="00B050"/>
          <w:sz w:val="24"/>
          <w:szCs w:val="24"/>
        </w:rPr>
        <w:lastRenderedPageBreak/>
        <w:t xml:space="preserve">Neostigmine Bromide </w:t>
      </w:r>
    </w:p>
    <w:p w14:paraId="179D970D" w14:textId="77777777" w:rsidR="00290975" w:rsidRDefault="00290975" w:rsidP="00290975">
      <w:pPr>
        <w:pStyle w:val="NoSpacing"/>
        <w:tabs>
          <w:tab w:val="left" w:pos="151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0E125B8A" w14:textId="14E90529" w:rsidR="00290975" w:rsidRDefault="00290975" w:rsidP="00CB5E71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8522" w:dyaOrig="4331" w14:anchorId="322B91C2">
          <v:shape id="_x0000_i1036" type="#_x0000_t75" style="width:246pt;height:125.25pt" o:ole="">
            <v:imagedata r:id="rId32" o:title=""/>
          </v:shape>
          <o:OLEObject Type="Embed" ProgID="ChemDraw.Document.6.0" ShapeID="_x0000_i1036" DrawAspect="Content" ObjectID="_1759860986" r:id="rId33"/>
        </w:object>
      </w:r>
    </w:p>
    <w:p w14:paraId="714E83CA" w14:textId="7CE32002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</w:p>
    <w:p w14:paraId="6C22C13C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F1589">
        <w:rPr>
          <w:rFonts w:asciiTheme="majorBidi" w:hAnsiTheme="majorBidi" w:cstheme="majorBidi"/>
          <w:b/>
          <w:bCs/>
          <w:color w:val="C00000"/>
          <w:sz w:val="24"/>
          <w:szCs w:val="24"/>
        </w:rPr>
        <w:t>Uses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of neostigmine</w:t>
      </w:r>
    </w:p>
    <w:p w14:paraId="0C5C0785" w14:textId="196B21AA" w:rsidR="00290975" w:rsidRDefault="00290975" w:rsidP="00290975">
      <w:pPr>
        <w:pStyle w:val="NoSpacing"/>
        <w:numPr>
          <w:ilvl w:val="0"/>
          <w:numId w:val="31"/>
        </w:numPr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The most frequent application of neostigmine is to prevent atony of the intestinal, skeletal, and bladder musculature.</w:t>
      </w:r>
    </w:p>
    <w:p w14:paraId="4199425F" w14:textId="77777777" w:rsidR="00290975" w:rsidRPr="00610302" w:rsidRDefault="00290975" w:rsidP="00290975">
      <w:pPr>
        <w:pStyle w:val="NoSpacing"/>
        <w:numPr>
          <w:ilvl w:val="0"/>
          <w:numId w:val="31"/>
        </w:numPr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C0653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The important use is in the treatment of myasthenia gravis.</w:t>
      </w:r>
    </w:p>
    <w:p w14:paraId="2F94142C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5ED6B7C5" w14:textId="77777777" w:rsidR="00290975" w:rsidRPr="0049652D" w:rsidRDefault="00290975" w:rsidP="00290975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9652D">
        <w:rPr>
          <w:rFonts w:asciiTheme="majorBidi" w:hAnsiTheme="majorBidi" w:cstheme="majorBidi"/>
          <w:b/>
          <w:bCs/>
          <w:color w:val="FF0000"/>
          <w:sz w:val="24"/>
          <w:szCs w:val="24"/>
        </w:rPr>
        <w:t>Synthesis of Neostigmine bromide</w:t>
      </w:r>
    </w:p>
    <w:p w14:paraId="6E54EDF6" w14:textId="3DF7485B" w:rsidR="00290975" w:rsidRDefault="00FC0A18" w:rsidP="00290975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object w:dxaOrig="1440" w:dyaOrig="1440" w14:anchorId="0E372942">
          <v:shape id="_x0000_s1038" type="#_x0000_t75" style="position:absolute;left:0;text-align:left;margin-left:23.9pt;margin-top:5.4pt;width:369.9pt;height:348.1pt;z-index:251698688">
            <v:imagedata r:id="rId34" o:title=""/>
            <w10:wrap type="square" side="right"/>
          </v:shape>
          <o:OLEObject Type="Embed" ProgID="ChemDraw.Document.6.0" ShapeID="_x0000_s1038" DrawAspect="Content" ObjectID="_1759860988" r:id="rId35"/>
        </w:object>
      </w:r>
    </w:p>
    <w:p w14:paraId="4B39D7B3" w14:textId="77777777" w:rsidR="00290975" w:rsidRDefault="00290975" w:rsidP="0029097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E9D114" w14:textId="77777777" w:rsidR="00011BF8" w:rsidRDefault="00011BF8" w:rsidP="00290975">
      <w:pPr>
        <w:pStyle w:val="NoSpacing"/>
        <w:ind w:left="720"/>
        <w:jc w:val="center"/>
      </w:pPr>
    </w:p>
    <w:p w14:paraId="0751C44C" w14:textId="77777777" w:rsidR="00011BF8" w:rsidRDefault="00011BF8" w:rsidP="00290975">
      <w:pPr>
        <w:pStyle w:val="NoSpacing"/>
        <w:ind w:left="720"/>
        <w:jc w:val="center"/>
      </w:pPr>
    </w:p>
    <w:p w14:paraId="61A81F90" w14:textId="77777777" w:rsidR="00011BF8" w:rsidRDefault="00011BF8" w:rsidP="00290975">
      <w:pPr>
        <w:pStyle w:val="NoSpacing"/>
        <w:ind w:left="720"/>
        <w:jc w:val="center"/>
      </w:pPr>
    </w:p>
    <w:p w14:paraId="048060A8" w14:textId="77777777" w:rsidR="00011BF8" w:rsidRDefault="00011BF8" w:rsidP="00290975">
      <w:pPr>
        <w:pStyle w:val="NoSpacing"/>
        <w:ind w:left="720"/>
        <w:jc w:val="center"/>
      </w:pPr>
    </w:p>
    <w:p w14:paraId="06AE6E53" w14:textId="77777777" w:rsidR="00011BF8" w:rsidRDefault="00011BF8" w:rsidP="00290975">
      <w:pPr>
        <w:pStyle w:val="NoSpacing"/>
        <w:ind w:left="720"/>
        <w:jc w:val="center"/>
      </w:pPr>
    </w:p>
    <w:p w14:paraId="479D1BE9" w14:textId="77777777" w:rsidR="00011BF8" w:rsidRDefault="00011BF8" w:rsidP="00290975">
      <w:pPr>
        <w:pStyle w:val="NoSpacing"/>
        <w:ind w:left="720"/>
        <w:jc w:val="center"/>
      </w:pPr>
    </w:p>
    <w:p w14:paraId="6CCFA541" w14:textId="77777777" w:rsidR="00011BF8" w:rsidRDefault="00011BF8" w:rsidP="00290975">
      <w:pPr>
        <w:pStyle w:val="NoSpacing"/>
        <w:ind w:left="720"/>
        <w:jc w:val="center"/>
      </w:pPr>
    </w:p>
    <w:p w14:paraId="26AFF832" w14:textId="77777777" w:rsidR="00011BF8" w:rsidRDefault="00011BF8" w:rsidP="00290975">
      <w:pPr>
        <w:pStyle w:val="NoSpacing"/>
        <w:ind w:left="720"/>
        <w:jc w:val="center"/>
      </w:pPr>
    </w:p>
    <w:p w14:paraId="46054797" w14:textId="77777777" w:rsidR="00011BF8" w:rsidRDefault="00011BF8" w:rsidP="00290975">
      <w:pPr>
        <w:pStyle w:val="NoSpacing"/>
        <w:ind w:left="720"/>
        <w:jc w:val="center"/>
      </w:pPr>
    </w:p>
    <w:p w14:paraId="14DBC226" w14:textId="77777777" w:rsidR="00011BF8" w:rsidRDefault="00011BF8" w:rsidP="00290975">
      <w:pPr>
        <w:pStyle w:val="NoSpacing"/>
        <w:ind w:left="720"/>
        <w:jc w:val="center"/>
      </w:pPr>
    </w:p>
    <w:p w14:paraId="08B79CC3" w14:textId="77777777" w:rsidR="00011BF8" w:rsidRDefault="00011BF8" w:rsidP="00290975">
      <w:pPr>
        <w:pStyle w:val="NoSpacing"/>
        <w:ind w:left="720"/>
        <w:jc w:val="center"/>
      </w:pPr>
    </w:p>
    <w:p w14:paraId="7E3DDB3F" w14:textId="77777777" w:rsidR="00011BF8" w:rsidRDefault="00011BF8" w:rsidP="00290975">
      <w:pPr>
        <w:pStyle w:val="NoSpacing"/>
        <w:ind w:left="720"/>
        <w:jc w:val="center"/>
      </w:pPr>
    </w:p>
    <w:p w14:paraId="762EB93C" w14:textId="77777777" w:rsidR="00011BF8" w:rsidRDefault="00011BF8" w:rsidP="00290975">
      <w:pPr>
        <w:pStyle w:val="NoSpacing"/>
        <w:ind w:left="720"/>
        <w:jc w:val="center"/>
      </w:pPr>
    </w:p>
    <w:p w14:paraId="06D9EF20" w14:textId="77777777" w:rsidR="00011BF8" w:rsidRDefault="00011BF8" w:rsidP="00290975">
      <w:pPr>
        <w:pStyle w:val="NoSpacing"/>
        <w:ind w:left="720"/>
        <w:jc w:val="center"/>
      </w:pPr>
    </w:p>
    <w:p w14:paraId="228A6D76" w14:textId="77777777" w:rsidR="00011BF8" w:rsidRDefault="00011BF8" w:rsidP="00290975">
      <w:pPr>
        <w:pStyle w:val="NoSpacing"/>
        <w:ind w:left="720"/>
        <w:jc w:val="center"/>
      </w:pPr>
    </w:p>
    <w:p w14:paraId="65AB975C" w14:textId="77777777" w:rsidR="00CD7642" w:rsidRDefault="00CD7642" w:rsidP="00CD7642">
      <w:pPr>
        <w:spacing w:before="115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en-GB"/>
        </w:rPr>
      </w:pPr>
    </w:p>
    <w:p w14:paraId="16359EF8" w14:textId="77777777" w:rsidR="00CD7642" w:rsidRDefault="00CD7642" w:rsidP="00CD7642">
      <w:pPr>
        <w:spacing w:before="115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en-GB"/>
        </w:rPr>
      </w:pPr>
    </w:p>
    <w:p w14:paraId="4A1808DC" w14:textId="77777777" w:rsidR="00CD7642" w:rsidRDefault="00CD7642" w:rsidP="00CD7642">
      <w:pPr>
        <w:spacing w:before="115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en-GB"/>
        </w:rPr>
      </w:pPr>
    </w:p>
    <w:p w14:paraId="2D97DD1D" w14:textId="77777777" w:rsidR="00CD7642" w:rsidRDefault="00CD7642" w:rsidP="00CD7642">
      <w:pPr>
        <w:spacing w:before="115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en-GB"/>
        </w:rPr>
      </w:pPr>
    </w:p>
    <w:p w14:paraId="3FA0B646" w14:textId="77777777" w:rsidR="00556637" w:rsidRDefault="00556637" w:rsidP="00CD7642">
      <w:pPr>
        <w:spacing w:before="115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</w:pPr>
    </w:p>
    <w:p w14:paraId="11F99AE6" w14:textId="45113165" w:rsidR="00CD7642" w:rsidRPr="00CD7642" w:rsidRDefault="00CD7642" w:rsidP="00CD7642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D76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lastRenderedPageBreak/>
        <w:t>Uses:</w:t>
      </w:r>
    </w:p>
    <w:p w14:paraId="2FB813E4" w14:textId="77777777" w:rsidR="00CD7642" w:rsidRPr="00CD7642" w:rsidRDefault="00CD7642" w:rsidP="00CD7642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D76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GB"/>
        </w:rPr>
        <w:t>Myasthenia gravis</w:t>
      </w:r>
    </w:p>
    <w:p w14:paraId="1FA984AC" w14:textId="77777777" w:rsidR="00011BF8" w:rsidRDefault="00011BF8" w:rsidP="00290975">
      <w:pPr>
        <w:pStyle w:val="NoSpacing"/>
        <w:ind w:left="720"/>
        <w:jc w:val="center"/>
      </w:pPr>
    </w:p>
    <w:p w14:paraId="0514C612" w14:textId="612C8218" w:rsidR="00290975" w:rsidRDefault="00290975" w:rsidP="0029097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14508" w:dyaOrig="4665" w14:anchorId="4C838FB9">
          <v:shape id="_x0000_i1038" type="#_x0000_t75" style="width:476.25pt;height:153pt" o:ole="">
            <v:imagedata r:id="rId36" o:title=""/>
          </v:shape>
          <o:OLEObject Type="Embed" ProgID="ChemDraw.Document.6.0" ShapeID="_x0000_i1038" DrawAspect="Content" ObjectID="_1759860987" r:id="rId37"/>
        </w:object>
      </w:r>
    </w:p>
    <w:p w14:paraId="08FF646E" w14:textId="77777777" w:rsidR="00290975" w:rsidRDefault="00290975" w:rsidP="0029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ADBFC6" w14:textId="77777777" w:rsidR="00290975" w:rsidRDefault="00290975" w:rsidP="0029097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5AA16C67" w14:textId="77777777" w:rsidR="00C30A2A" w:rsidRPr="00EA3AD2" w:rsidRDefault="00C30A2A" w:rsidP="00EA3AD2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sectPr w:rsidR="00C30A2A" w:rsidRPr="00EA3AD2" w:rsidSect="00F942F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5A978" w14:textId="77777777" w:rsidR="00FC0A18" w:rsidRDefault="00FC0A18" w:rsidP="005D54A3">
      <w:pPr>
        <w:spacing w:after="0" w:line="240" w:lineRule="auto"/>
      </w:pPr>
      <w:r>
        <w:separator/>
      </w:r>
    </w:p>
  </w:endnote>
  <w:endnote w:type="continuationSeparator" w:id="0">
    <w:p w14:paraId="62232281" w14:textId="77777777" w:rsidR="00FC0A18" w:rsidRDefault="00FC0A18" w:rsidP="005D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F000" w14:textId="77777777" w:rsidR="006A46E2" w:rsidRDefault="006A4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E56879" w14:paraId="233246C5" w14:textId="77777777">
      <w:tc>
        <w:tcPr>
          <w:tcW w:w="918" w:type="dxa"/>
        </w:tcPr>
        <w:p w14:paraId="2319C10B" w14:textId="77777777" w:rsidR="00E56879" w:rsidRDefault="00B5491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C30A2A" w:rsidRPr="00C30A2A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E0F7CC4" w14:textId="77777777" w:rsidR="00E56879" w:rsidRDefault="00E56879">
          <w:pPr>
            <w:pStyle w:val="Footer"/>
          </w:pPr>
        </w:p>
      </w:tc>
    </w:tr>
  </w:tbl>
  <w:p w14:paraId="5AD1A5B1" w14:textId="77777777" w:rsidR="00E56879" w:rsidRDefault="00E56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EEF0" w14:textId="77777777" w:rsidR="006A46E2" w:rsidRDefault="006A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51453" w14:textId="77777777" w:rsidR="00FC0A18" w:rsidRDefault="00FC0A18" w:rsidP="005D54A3">
      <w:pPr>
        <w:spacing w:after="0" w:line="240" w:lineRule="auto"/>
      </w:pPr>
      <w:r>
        <w:separator/>
      </w:r>
    </w:p>
  </w:footnote>
  <w:footnote w:type="continuationSeparator" w:id="0">
    <w:p w14:paraId="4E7935E7" w14:textId="77777777" w:rsidR="00FC0A18" w:rsidRDefault="00FC0A18" w:rsidP="005D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BFFB" w14:textId="77777777" w:rsidR="006A46E2" w:rsidRDefault="006A4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9A4D" w14:textId="77777777" w:rsidR="00E56879" w:rsidRDefault="004D5C45" w:rsidP="00521459">
    <w:pPr>
      <w:pStyle w:val="NoSpacing"/>
      <w:rPr>
        <w:rFonts w:asciiTheme="majorBidi" w:hAnsiTheme="majorBidi" w:cstheme="majorBidi"/>
        <w:color w:val="C00000"/>
        <w:sz w:val="28"/>
        <w:szCs w:val="28"/>
        <w:u w:val="single"/>
      </w:rPr>
    </w:pPr>
    <w:r>
      <w:rPr>
        <w:rFonts w:asciiTheme="majorBidi" w:hAnsiTheme="majorBidi" w:cstheme="majorBidi"/>
        <w:color w:val="002060"/>
        <w:sz w:val="28"/>
        <w:szCs w:val="28"/>
      </w:rPr>
      <w:t xml:space="preserve">                                     P</w:t>
    </w:r>
    <w:r w:rsidR="00E56879" w:rsidRPr="003F5E42">
      <w:rPr>
        <w:rFonts w:asciiTheme="majorBidi" w:hAnsiTheme="majorBidi" w:cstheme="majorBidi"/>
        <w:color w:val="002060"/>
        <w:sz w:val="28"/>
        <w:szCs w:val="28"/>
      </w:rPr>
      <w:t xml:space="preserve">rof. </w:t>
    </w:r>
    <w:proofErr w:type="spellStart"/>
    <w:proofErr w:type="gramStart"/>
    <w:r w:rsidR="00E56879" w:rsidRPr="003F5E42">
      <w:rPr>
        <w:rFonts w:asciiTheme="majorBidi" w:hAnsiTheme="majorBidi" w:cstheme="majorBidi"/>
        <w:color w:val="002060"/>
        <w:sz w:val="28"/>
        <w:szCs w:val="28"/>
      </w:rPr>
      <w:t>D.Rita</w:t>
    </w:r>
    <w:proofErr w:type="spellEnd"/>
    <w:proofErr w:type="gramEnd"/>
    <w:r w:rsidR="00E56879" w:rsidRPr="003F5E42">
      <w:rPr>
        <w:rFonts w:asciiTheme="majorBidi" w:hAnsiTheme="majorBidi" w:cstheme="majorBidi"/>
        <w:color w:val="002060"/>
        <w:sz w:val="28"/>
        <w:szCs w:val="28"/>
      </w:rPr>
      <w:t xml:space="preserve"> Sabah Elias   </w:t>
    </w:r>
  </w:p>
  <w:p w14:paraId="0901713D" w14:textId="311ABF38" w:rsidR="00E56879" w:rsidRPr="00744899" w:rsidRDefault="00E56879" w:rsidP="00620F3D">
    <w:pPr>
      <w:pStyle w:val="NoSpacing"/>
      <w:rPr>
        <w:rFonts w:asciiTheme="majorBidi" w:hAnsiTheme="majorBidi" w:cstheme="majorBidi"/>
        <w:i/>
        <w:iCs/>
        <w:color w:val="C00000"/>
        <w:sz w:val="28"/>
        <w:szCs w:val="28"/>
        <w:u w:val="single"/>
      </w:rPr>
    </w:pPr>
    <w:proofErr w:type="spellStart"/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Lec</w:t>
    </w:r>
    <w:proofErr w:type="spellEnd"/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</w:t>
    </w:r>
    <w:r w:rsidR="00C9530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4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</w:t>
    </w:r>
    <w:r w:rsidR="006A46E2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   </w:t>
    </w:r>
    <w:r w:rsidR="006A46E2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</w:t>
    </w:r>
    <w:r w:rsidR="004D5C45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Organic pharmaceutical chemistry II     </w:t>
    </w:r>
    <w:r w:rsidR="004D5C45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  </w:t>
    </w:r>
    <w:r w:rsidR="00C9530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Wednesday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</w:t>
    </w:r>
    <w:r w:rsidR="00C9530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11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/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10/20</w:t>
    </w:r>
    <w:r w:rsidR="004D5C45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23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C20D" w14:textId="77777777" w:rsidR="006A46E2" w:rsidRDefault="006A4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814"/>
    <w:multiLevelType w:val="hybridMultilevel"/>
    <w:tmpl w:val="CBD2BC3E"/>
    <w:lvl w:ilvl="0" w:tplc="20C6BB80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  <w:color w:val="00B05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E1F"/>
    <w:multiLevelType w:val="hybridMultilevel"/>
    <w:tmpl w:val="3A94BD1A"/>
    <w:lvl w:ilvl="0" w:tplc="0F84C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D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2C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41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21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A9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41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EF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2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32455A"/>
    <w:multiLevelType w:val="hybridMultilevel"/>
    <w:tmpl w:val="C76650CE"/>
    <w:lvl w:ilvl="0" w:tplc="BECAD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3145"/>
    <w:multiLevelType w:val="hybridMultilevel"/>
    <w:tmpl w:val="1E0618B4"/>
    <w:lvl w:ilvl="0" w:tplc="397CB1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132"/>
    <w:multiLevelType w:val="hybridMultilevel"/>
    <w:tmpl w:val="9A2AB254"/>
    <w:lvl w:ilvl="0" w:tplc="FEF22B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05C9"/>
    <w:multiLevelType w:val="hybridMultilevel"/>
    <w:tmpl w:val="41BE92F2"/>
    <w:lvl w:ilvl="0" w:tplc="F64C7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EA0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0DA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4A4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8D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744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EA5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AAD0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D2A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622464E"/>
    <w:multiLevelType w:val="hybridMultilevel"/>
    <w:tmpl w:val="4CFCB926"/>
    <w:lvl w:ilvl="0" w:tplc="2AA8D0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A0D"/>
    <w:multiLevelType w:val="hybridMultilevel"/>
    <w:tmpl w:val="6BBEF6BA"/>
    <w:lvl w:ilvl="0" w:tplc="02105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C8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B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29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22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ED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0EB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69D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4C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436C24"/>
    <w:multiLevelType w:val="hybridMultilevel"/>
    <w:tmpl w:val="5F1873A2"/>
    <w:lvl w:ilvl="0" w:tplc="6136C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167C0"/>
    <w:multiLevelType w:val="hybridMultilevel"/>
    <w:tmpl w:val="4C76C746"/>
    <w:lvl w:ilvl="0" w:tplc="D716D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14D2"/>
    <w:multiLevelType w:val="hybridMultilevel"/>
    <w:tmpl w:val="F4AAC730"/>
    <w:lvl w:ilvl="0" w:tplc="DCE011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0447F"/>
    <w:multiLevelType w:val="hybridMultilevel"/>
    <w:tmpl w:val="B38A3084"/>
    <w:lvl w:ilvl="0" w:tplc="73F61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643F"/>
    <w:multiLevelType w:val="hybridMultilevel"/>
    <w:tmpl w:val="BB1A8394"/>
    <w:lvl w:ilvl="0" w:tplc="8F58CD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2F20"/>
    <w:multiLevelType w:val="hybridMultilevel"/>
    <w:tmpl w:val="8E18DA94"/>
    <w:lvl w:ilvl="0" w:tplc="3CF4EE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21649"/>
    <w:multiLevelType w:val="hybridMultilevel"/>
    <w:tmpl w:val="DC3EF4F0"/>
    <w:lvl w:ilvl="0" w:tplc="87DA58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87B95"/>
    <w:multiLevelType w:val="hybridMultilevel"/>
    <w:tmpl w:val="CFBE3A88"/>
    <w:lvl w:ilvl="0" w:tplc="EF8A4ADE">
      <w:start w:val="1"/>
      <w:numFmt w:val="decimal"/>
      <w:lvlText w:val="%1-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E16C5"/>
    <w:multiLevelType w:val="hybridMultilevel"/>
    <w:tmpl w:val="1E0618B4"/>
    <w:lvl w:ilvl="0" w:tplc="397CB130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1458"/>
    <w:multiLevelType w:val="hybridMultilevel"/>
    <w:tmpl w:val="FA649B56"/>
    <w:lvl w:ilvl="0" w:tplc="A57E6B96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C51BD"/>
    <w:multiLevelType w:val="hybridMultilevel"/>
    <w:tmpl w:val="FC9487D6"/>
    <w:lvl w:ilvl="0" w:tplc="056C4E3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CE9"/>
    <w:multiLevelType w:val="hybridMultilevel"/>
    <w:tmpl w:val="4A4010E0"/>
    <w:lvl w:ilvl="0" w:tplc="CE52A4DE">
      <w:start w:val="3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E0E71"/>
    <w:multiLevelType w:val="hybridMultilevel"/>
    <w:tmpl w:val="F7121C3C"/>
    <w:lvl w:ilvl="0" w:tplc="A5AE8D22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82624"/>
    <w:multiLevelType w:val="hybridMultilevel"/>
    <w:tmpl w:val="1A601ABC"/>
    <w:lvl w:ilvl="0" w:tplc="DA88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401D"/>
    <w:multiLevelType w:val="hybridMultilevel"/>
    <w:tmpl w:val="1FFC8C42"/>
    <w:lvl w:ilvl="0" w:tplc="BA503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77BF"/>
    <w:multiLevelType w:val="hybridMultilevel"/>
    <w:tmpl w:val="0DA6141A"/>
    <w:lvl w:ilvl="0" w:tplc="A75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4436"/>
    <w:multiLevelType w:val="hybridMultilevel"/>
    <w:tmpl w:val="E192277A"/>
    <w:lvl w:ilvl="0" w:tplc="0292193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F5F84"/>
    <w:multiLevelType w:val="hybridMultilevel"/>
    <w:tmpl w:val="429E0570"/>
    <w:lvl w:ilvl="0" w:tplc="13F603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5B78"/>
    <w:multiLevelType w:val="hybridMultilevel"/>
    <w:tmpl w:val="A7EA2D76"/>
    <w:lvl w:ilvl="0" w:tplc="4566B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B17F9"/>
    <w:multiLevelType w:val="hybridMultilevel"/>
    <w:tmpl w:val="B76C283C"/>
    <w:lvl w:ilvl="0" w:tplc="4EBA84BC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34B0E"/>
    <w:multiLevelType w:val="hybridMultilevel"/>
    <w:tmpl w:val="4F96A926"/>
    <w:lvl w:ilvl="0" w:tplc="250CA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B6424"/>
    <w:multiLevelType w:val="hybridMultilevel"/>
    <w:tmpl w:val="F322DF6E"/>
    <w:lvl w:ilvl="0" w:tplc="3D5EAC1A">
      <w:start w:val="2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1A4835"/>
    <w:multiLevelType w:val="hybridMultilevel"/>
    <w:tmpl w:val="1D9C43B2"/>
    <w:lvl w:ilvl="0" w:tplc="57AE0F8A">
      <w:start w:val="1"/>
      <w:numFmt w:val="lowerLetter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A042C9"/>
    <w:multiLevelType w:val="hybridMultilevel"/>
    <w:tmpl w:val="10888CC8"/>
    <w:lvl w:ilvl="0" w:tplc="FB549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8"/>
  </w:num>
  <w:num w:numId="4">
    <w:abstractNumId w:val="30"/>
  </w:num>
  <w:num w:numId="5">
    <w:abstractNumId w:val="15"/>
  </w:num>
  <w:num w:numId="6">
    <w:abstractNumId w:val="9"/>
  </w:num>
  <w:num w:numId="7">
    <w:abstractNumId w:val="22"/>
  </w:num>
  <w:num w:numId="8">
    <w:abstractNumId w:val="16"/>
  </w:num>
  <w:num w:numId="9">
    <w:abstractNumId w:val="17"/>
  </w:num>
  <w:num w:numId="10">
    <w:abstractNumId w:val="4"/>
  </w:num>
  <w:num w:numId="11">
    <w:abstractNumId w:val="14"/>
  </w:num>
  <w:num w:numId="12">
    <w:abstractNumId w:val="20"/>
  </w:num>
  <w:num w:numId="13">
    <w:abstractNumId w:val="24"/>
  </w:num>
  <w:num w:numId="14">
    <w:abstractNumId w:val="3"/>
  </w:num>
  <w:num w:numId="15">
    <w:abstractNumId w:val="10"/>
  </w:num>
  <w:num w:numId="16">
    <w:abstractNumId w:val="26"/>
  </w:num>
  <w:num w:numId="17">
    <w:abstractNumId w:val="1"/>
  </w:num>
  <w:num w:numId="18">
    <w:abstractNumId w:val="7"/>
  </w:num>
  <w:num w:numId="19">
    <w:abstractNumId w:val="23"/>
  </w:num>
  <w:num w:numId="20">
    <w:abstractNumId w:val="6"/>
  </w:num>
  <w:num w:numId="21">
    <w:abstractNumId w:val="11"/>
  </w:num>
  <w:num w:numId="22">
    <w:abstractNumId w:val="27"/>
  </w:num>
  <w:num w:numId="23">
    <w:abstractNumId w:val="29"/>
  </w:num>
  <w:num w:numId="24">
    <w:abstractNumId w:val="21"/>
  </w:num>
  <w:num w:numId="25">
    <w:abstractNumId w:val="19"/>
  </w:num>
  <w:num w:numId="26">
    <w:abstractNumId w:val="25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 w:numId="31">
    <w:abstractNumId w:val="13"/>
  </w:num>
  <w:num w:numId="3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A3"/>
    <w:rsid w:val="00000486"/>
    <w:rsid w:val="000032EF"/>
    <w:rsid w:val="00010949"/>
    <w:rsid w:val="00011BF8"/>
    <w:rsid w:val="00020A63"/>
    <w:rsid w:val="000232AE"/>
    <w:rsid w:val="00025BF9"/>
    <w:rsid w:val="00042D4C"/>
    <w:rsid w:val="00047AD0"/>
    <w:rsid w:val="00060C05"/>
    <w:rsid w:val="00067018"/>
    <w:rsid w:val="00067990"/>
    <w:rsid w:val="00072C28"/>
    <w:rsid w:val="000734C1"/>
    <w:rsid w:val="000759E2"/>
    <w:rsid w:val="00080E7A"/>
    <w:rsid w:val="00081F10"/>
    <w:rsid w:val="000941CF"/>
    <w:rsid w:val="00096063"/>
    <w:rsid w:val="000A5A87"/>
    <w:rsid w:val="000A5D9A"/>
    <w:rsid w:val="000A6A72"/>
    <w:rsid w:val="000A7DC1"/>
    <w:rsid w:val="000B1A0D"/>
    <w:rsid w:val="000B41E4"/>
    <w:rsid w:val="000C18B8"/>
    <w:rsid w:val="000C5205"/>
    <w:rsid w:val="000D0709"/>
    <w:rsid w:val="000D5C8E"/>
    <w:rsid w:val="000E3BAF"/>
    <w:rsid w:val="000F2C33"/>
    <w:rsid w:val="000F67F4"/>
    <w:rsid w:val="0010125C"/>
    <w:rsid w:val="00104A64"/>
    <w:rsid w:val="00111129"/>
    <w:rsid w:val="00112DA7"/>
    <w:rsid w:val="00113D0B"/>
    <w:rsid w:val="00120481"/>
    <w:rsid w:val="001237E4"/>
    <w:rsid w:val="00124CE4"/>
    <w:rsid w:val="001274DA"/>
    <w:rsid w:val="0012797D"/>
    <w:rsid w:val="001307D5"/>
    <w:rsid w:val="001359F3"/>
    <w:rsid w:val="00136EF8"/>
    <w:rsid w:val="0014568D"/>
    <w:rsid w:val="001528A4"/>
    <w:rsid w:val="00152C55"/>
    <w:rsid w:val="00154540"/>
    <w:rsid w:val="00154905"/>
    <w:rsid w:val="001602E6"/>
    <w:rsid w:val="00163CC0"/>
    <w:rsid w:val="00164260"/>
    <w:rsid w:val="00164E13"/>
    <w:rsid w:val="001714CB"/>
    <w:rsid w:val="00172086"/>
    <w:rsid w:val="001740D7"/>
    <w:rsid w:val="00175DE9"/>
    <w:rsid w:val="001819F6"/>
    <w:rsid w:val="00182BF6"/>
    <w:rsid w:val="00184234"/>
    <w:rsid w:val="00191DE5"/>
    <w:rsid w:val="00195780"/>
    <w:rsid w:val="00197CAE"/>
    <w:rsid w:val="001A0233"/>
    <w:rsid w:val="001A47C3"/>
    <w:rsid w:val="001B2CA3"/>
    <w:rsid w:val="001B4CF3"/>
    <w:rsid w:val="001B615A"/>
    <w:rsid w:val="001B795A"/>
    <w:rsid w:val="001C1927"/>
    <w:rsid w:val="001D1907"/>
    <w:rsid w:val="001D2CF6"/>
    <w:rsid w:val="001D7B60"/>
    <w:rsid w:val="001E027D"/>
    <w:rsid w:val="001E123F"/>
    <w:rsid w:val="001E691D"/>
    <w:rsid w:val="001F0B93"/>
    <w:rsid w:val="001F22F8"/>
    <w:rsid w:val="001F750A"/>
    <w:rsid w:val="001F7F41"/>
    <w:rsid w:val="0020167F"/>
    <w:rsid w:val="00203C86"/>
    <w:rsid w:val="00204B3F"/>
    <w:rsid w:val="00215C7E"/>
    <w:rsid w:val="00215D60"/>
    <w:rsid w:val="0022517E"/>
    <w:rsid w:val="00225603"/>
    <w:rsid w:val="00225FD5"/>
    <w:rsid w:val="002261A9"/>
    <w:rsid w:val="00226E16"/>
    <w:rsid w:val="0023315A"/>
    <w:rsid w:val="00241061"/>
    <w:rsid w:val="00241E95"/>
    <w:rsid w:val="0024369C"/>
    <w:rsid w:val="002527AE"/>
    <w:rsid w:val="00263B1E"/>
    <w:rsid w:val="00266265"/>
    <w:rsid w:val="00266559"/>
    <w:rsid w:val="00267025"/>
    <w:rsid w:val="00270A33"/>
    <w:rsid w:val="00271B44"/>
    <w:rsid w:val="00274F0A"/>
    <w:rsid w:val="00275BF2"/>
    <w:rsid w:val="00276BF3"/>
    <w:rsid w:val="00276F1B"/>
    <w:rsid w:val="00280446"/>
    <w:rsid w:val="0028203A"/>
    <w:rsid w:val="0028640A"/>
    <w:rsid w:val="0029070E"/>
    <w:rsid w:val="00290975"/>
    <w:rsid w:val="00297B14"/>
    <w:rsid w:val="002A54BF"/>
    <w:rsid w:val="002A554D"/>
    <w:rsid w:val="002A5EEF"/>
    <w:rsid w:val="002B1B13"/>
    <w:rsid w:val="002B7E3F"/>
    <w:rsid w:val="002C2826"/>
    <w:rsid w:val="002C2C96"/>
    <w:rsid w:val="002C45CF"/>
    <w:rsid w:val="002C4C2D"/>
    <w:rsid w:val="002D3D00"/>
    <w:rsid w:val="002D4EDB"/>
    <w:rsid w:val="002E10A2"/>
    <w:rsid w:val="002E491D"/>
    <w:rsid w:val="002F5E58"/>
    <w:rsid w:val="00316B92"/>
    <w:rsid w:val="00322CFD"/>
    <w:rsid w:val="003260F8"/>
    <w:rsid w:val="003302A2"/>
    <w:rsid w:val="00333256"/>
    <w:rsid w:val="0034073B"/>
    <w:rsid w:val="00342BEE"/>
    <w:rsid w:val="003476C8"/>
    <w:rsid w:val="00351533"/>
    <w:rsid w:val="003537EE"/>
    <w:rsid w:val="003579E9"/>
    <w:rsid w:val="00364572"/>
    <w:rsid w:val="00364B74"/>
    <w:rsid w:val="00365527"/>
    <w:rsid w:val="00366F1E"/>
    <w:rsid w:val="003809F1"/>
    <w:rsid w:val="0039533A"/>
    <w:rsid w:val="00395CD9"/>
    <w:rsid w:val="003963B3"/>
    <w:rsid w:val="00397F99"/>
    <w:rsid w:val="003B7601"/>
    <w:rsid w:val="003C333C"/>
    <w:rsid w:val="003C48D0"/>
    <w:rsid w:val="003E010E"/>
    <w:rsid w:val="003E642B"/>
    <w:rsid w:val="003E6707"/>
    <w:rsid w:val="003E6F70"/>
    <w:rsid w:val="003F33A3"/>
    <w:rsid w:val="00411740"/>
    <w:rsid w:val="0041609B"/>
    <w:rsid w:val="004206AA"/>
    <w:rsid w:val="004251B0"/>
    <w:rsid w:val="00426BFA"/>
    <w:rsid w:val="00426CF1"/>
    <w:rsid w:val="00432F0A"/>
    <w:rsid w:val="00432FD8"/>
    <w:rsid w:val="00433D12"/>
    <w:rsid w:val="004363E1"/>
    <w:rsid w:val="0044337B"/>
    <w:rsid w:val="00451209"/>
    <w:rsid w:val="00451593"/>
    <w:rsid w:val="00454C9D"/>
    <w:rsid w:val="00462A73"/>
    <w:rsid w:val="00462B7D"/>
    <w:rsid w:val="004639B6"/>
    <w:rsid w:val="00466773"/>
    <w:rsid w:val="004730C1"/>
    <w:rsid w:val="0047513F"/>
    <w:rsid w:val="00481E3C"/>
    <w:rsid w:val="00482EDD"/>
    <w:rsid w:val="004830F0"/>
    <w:rsid w:val="004837B3"/>
    <w:rsid w:val="004954F4"/>
    <w:rsid w:val="004A2419"/>
    <w:rsid w:val="004A4D16"/>
    <w:rsid w:val="004A5927"/>
    <w:rsid w:val="004B185C"/>
    <w:rsid w:val="004B1B45"/>
    <w:rsid w:val="004B66AD"/>
    <w:rsid w:val="004B7711"/>
    <w:rsid w:val="004D1F15"/>
    <w:rsid w:val="004D5C45"/>
    <w:rsid w:val="004E1CAA"/>
    <w:rsid w:val="004E24BE"/>
    <w:rsid w:val="004F003D"/>
    <w:rsid w:val="004F035E"/>
    <w:rsid w:val="004F1B20"/>
    <w:rsid w:val="004F2193"/>
    <w:rsid w:val="004F3263"/>
    <w:rsid w:val="004F3F62"/>
    <w:rsid w:val="004F58C7"/>
    <w:rsid w:val="005049A4"/>
    <w:rsid w:val="005137FD"/>
    <w:rsid w:val="00521459"/>
    <w:rsid w:val="00521965"/>
    <w:rsid w:val="005220BA"/>
    <w:rsid w:val="005236C9"/>
    <w:rsid w:val="00523DDD"/>
    <w:rsid w:val="00531409"/>
    <w:rsid w:val="00532BA3"/>
    <w:rsid w:val="005340D8"/>
    <w:rsid w:val="00536634"/>
    <w:rsid w:val="00544D57"/>
    <w:rsid w:val="0054629B"/>
    <w:rsid w:val="00554AC7"/>
    <w:rsid w:val="00554B48"/>
    <w:rsid w:val="00556637"/>
    <w:rsid w:val="00565E4F"/>
    <w:rsid w:val="0057036B"/>
    <w:rsid w:val="00572778"/>
    <w:rsid w:val="005824A6"/>
    <w:rsid w:val="00592D9D"/>
    <w:rsid w:val="005A5EF1"/>
    <w:rsid w:val="005A6242"/>
    <w:rsid w:val="005B139C"/>
    <w:rsid w:val="005B1E64"/>
    <w:rsid w:val="005C29FC"/>
    <w:rsid w:val="005C502B"/>
    <w:rsid w:val="005C5D3D"/>
    <w:rsid w:val="005D54A3"/>
    <w:rsid w:val="005D7E2D"/>
    <w:rsid w:val="005E516E"/>
    <w:rsid w:val="005E713B"/>
    <w:rsid w:val="005F471E"/>
    <w:rsid w:val="005F5601"/>
    <w:rsid w:val="005F6BF8"/>
    <w:rsid w:val="0060064C"/>
    <w:rsid w:val="00600F52"/>
    <w:rsid w:val="00603FB2"/>
    <w:rsid w:val="00613AC4"/>
    <w:rsid w:val="00616087"/>
    <w:rsid w:val="00620C6F"/>
    <w:rsid w:val="00620F3D"/>
    <w:rsid w:val="006243F6"/>
    <w:rsid w:val="00631FE9"/>
    <w:rsid w:val="00634BF4"/>
    <w:rsid w:val="00636446"/>
    <w:rsid w:val="006366C1"/>
    <w:rsid w:val="00643E9B"/>
    <w:rsid w:val="0065046F"/>
    <w:rsid w:val="0065388B"/>
    <w:rsid w:val="006560FE"/>
    <w:rsid w:val="00657B91"/>
    <w:rsid w:val="00686572"/>
    <w:rsid w:val="006920E7"/>
    <w:rsid w:val="006937D8"/>
    <w:rsid w:val="00695FEC"/>
    <w:rsid w:val="006A2FF4"/>
    <w:rsid w:val="006A46E2"/>
    <w:rsid w:val="006A5925"/>
    <w:rsid w:val="006A6798"/>
    <w:rsid w:val="006A7860"/>
    <w:rsid w:val="006B2960"/>
    <w:rsid w:val="006B678A"/>
    <w:rsid w:val="006C2B4E"/>
    <w:rsid w:val="006C3833"/>
    <w:rsid w:val="006C5EE9"/>
    <w:rsid w:val="006D1783"/>
    <w:rsid w:val="006D5D57"/>
    <w:rsid w:val="006E2F2A"/>
    <w:rsid w:val="006E55CE"/>
    <w:rsid w:val="006F1273"/>
    <w:rsid w:val="006F3EFE"/>
    <w:rsid w:val="006F402C"/>
    <w:rsid w:val="006F418C"/>
    <w:rsid w:val="006F524D"/>
    <w:rsid w:val="006F578A"/>
    <w:rsid w:val="006F677E"/>
    <w:rsid w:val="007102ED"/>
    <w:rsid w:val="0071177B"/>
    <w:rsid w:val="007135B0"/>
    <w:rsid w:val="00716CC4"/>
    <w:rsid w:val="00716D25"/>
    <w:rsid w:val="007213AC"/>
    <w:rsid w:val="00734486"/>
    <w:rsid w:val="0073654E"/>
    <w:rsid w:val="007372BB"/>
    <w:rsid w:val="00744899"/>
    <w:rsid w:val="00750EF5"/>
    <w:rsid w:val="00754A5C"/>
    <w:rsid w:val="00755499"/>
    <w:rsid w:val="0075681F"/>
    <w:rsid w:val="00765CAF"/>
    <w:rsid w:val="00771382"/>
    <w:rsid w:val="00774DAD"/>
    <w:rsid w:val="00776642"/>
    <w:rsid w:val="00776F71"/>
    <w:rsid w:val="007774ED"/>
    <w:rsid w:val="007812A6"/>
    <w:rsid w:val="00784854"/>
    <w:rsid w:val="00787490"/>
    <w:rsid w:val="00790B7D"/>
    <w:rsid w:val="0079200E"/>
    <w:rsid w:val="007A4874"/>
    <w:rsid w:val="007A5AD2"/>
    <w:rsid w:val="007A6A3C"/>
    <w:rsid w:val="007A7E66"/>
    <w:rsid w:val="007B1F05"/>
    <w:rsid w:val="007B33B0"/>
    <w:rsid w:val="007B3DAD"/>
    <w:rsid w:val="007B5F19"/>
    <w:rsid w:val="007B77FA"/>
    <w:rsid w:val="007C19A9"/>
    <w:rsid w:val="007C1FA1"/>
    <w:rsid w:val="007C595B"/>
    <w:rsid w:val="007D0A08"/>
    <w:rsid w:val="007E18C7"/>
    <w:rsid w:val="007F05F3"/>
    <w:rsid w:val="007F09DA"/>
    <w:rsid w:val="007F31DA"/>
    <w:rsid w:val="007F4969"/>
    <w:rsid w:val="00800E2F"/>
    <w:rsid w:val="008037A5"/>
    <w:rsid w:val="00810A66"/>
    <w:rsid w:val="00811FE1"/>
    <w:rsid w:val="008254AE"/>
    <w:rsid w:val="00830432"/>
    <w:rsid w:val="008336DD"/>
    <w:rsid w:val="00834CFB"/>
    <w:rsid w:val="00842A82"/>
    <w:rsid w:val="0084659C"/>
    <w:rsid w:val="00854830"/>
    <w:rsid w:val="008570E0"/>
    <w:rsid w:val="00860871"/>
    <w:rsid w:val="0087291C"/>
    <w:rsid w:val="008737AA"/>
    <w:rsid w:val="00873CBA"/>
    <w:rsid w:val="00873D5C"/>
    <w:rsid w:val="008902C8"/>
    <w:rsid w:val="00890BDF"/>
    <w:rsid w:val="00896AC1"/>
    <w:rsid w:val="008B2622"/>
    <w:rsid w:val="008B7015"/>
    <w:rsid w:val="008C0EC4"/>
    <w:rsid w:val="008C255E"/>
    <w:rsid w:val="008C42E4"/>
    <w:rsid w:val="008D22D3"/>
    <w:rsid w:val="008D79EE"/>
    <w:rsid w:val="008E1FC5"/>
    <w:rsid w:val="008E2BA9"/>
    <w:rsid w:val="008E3566"/>
    <w:rsid w:val="008E7C73"/>
    <w:rsid w:val="008F2976"/>
    <w:rsid w:val="008F76F9"/>
    <w:rsid w:val="008F78A0"/>
    <w:rsid w:val="009011F8"/>
    <w:rsid w:val="00906D10"/>
    <w:rsid w:val="00913CE5"/>
    <w:rsid w:val="0091540C"/>
    <w:rsid w:val="00917542"/>
    <w:rsid w:val="00920726"/>
    <w:rsid w:val="009338D3"/>
    <w:rsid w:val="0093394E"/>
    <w:rsid w:val="00933BE0"/>
    <w:rsid w:val="00955701"/>
    <w:rsid w:val="00971B16"/>
    <w:rsid w:val="009732E0"/>
    <w:rsid w:val="00973AAD"/>
    <w:rsid w:val="009803A9"/>
    <w:rsid w:val="009879B4"/>
    <w:rsid w:val="00990903"/>
    <w:rsid w:val="00995458"/>
    <w:rsid w:val="009A30CF"/>
    <w:rsid w:val="009A4763"/>
    <w:rsid w:val="009A60A6"/>
    <w:rsid w:val="009B31B9"/>
    <w:rsid w:val="009C2D4C"/>
    <w:rsid w:val="009C5737"/>
    <w:rsid w:val="009D2A28"/>
    <w:rsid w:val="009D3DF2"/>
    <w:rsid w:val="009D651D"/>
    <w:rsid w:val="009E0492"/>
    <w:rsid w:val="009E1F70"/>
    <w:rsid w:val="009F498F"/>
    <w:rsid w:val="00A028EF"/>
    <w:rsid w:val="00A065B8"/>
    <w:rsid w:val="00A234C7"/>
    <w:rsid w:val="00A24C06"/>
    <w:rsid w:val="00A3114F"/>
    <w:rsid w:val="00A3561A"/>
    <w:rsid w:val="00A36B02"/>
    <w:rsid w:val="00A425E1"/>
    <w:rsid w:val="00A44D9A"/>
    <w:rsid w:val="00A5112A"/>
    <w:rsid w:val="00A5322E"/>
    <w:rsid w:val="00A54660"/>
    <w:rsid w:val="00A571B8"/>
    <w:rsid w:val="00A65BDC"/>
    <w:rsid w:val="00A73468"/>
    <w:rsid w:val="00A80B2B"/>
    <w:rsid w:val="00A80CC4"/>
    <w:rsid w:val="00A84622"/>
    <w:rsid w:val="00A86A8D"/>
    <w:rsid w:val="00A90C4B"/>
    <w:rsid w:val="00A95499"/>
    <w:rsid w:val="00A969A7"/>
    <w:rsid w:val="00A97756"/>
    <w:rsid w:val="00AA15E3"/>
    <w:rsid w:val="00AB70EA"/>
    <w:rsid w:val="00AD141A"/>
    <w:rsid w:val="00AD49C9"/>
    <w:rsid w:val="00AE172B"/>
    <w:rsid w:val="00AE47C1"/>
    <w:rsid w:val="00AE5192"/>
    <w:rsid w:val="00AF0EFB"/>
    <w:rsid w:val="00AF7356"/>
    <w:rsid w:val="00B0574F"/>
    <w:rsid w:val="00B05CDF"/>
    <w:rsid w:val="00B070B1"/>
    <w:rsid w:val="00B17421"/>
    <w:rsid w:val="00B34470"/>
    <w:rsid w:val="00B34705"/>
    <w:rsid w:val="00B4166F"/>
    <w:rsid w:val="00B42A49"/>
    <w:rsid w:val="00B44B4A"/>
    <w:rsid w:val="00B4675B"/>
    <w:rsid w:val="00B52EBC"/>
    <w:rsid w:val="00B5491F"/>
    <w:rsid w:val="00B55AB7"/>
    <w:rsid w:val="00B56ECA"/>
    <w:rsid w:val="00B60F75"/>
    <w:rsid w:val="00B671FA"/>
    <w:rsid w:val="00B71410"/>
    <w:rsid w:val="00B76066"/>
    <w:rsid w:val="00B848E5"/>
    <w:rsid w:val="00BA12FA"/>
    <w:rsid w:val="00BA4118"/>
    <w:rsid w:val="00BA5796"/>
    <w:rsid w:val="00BB6BA2"/>
    <w:rsid w:val="00BB6BB3"/>
    <w:rsid w:val="00BD3171"/>
    <w:rsid w:val="00BE074C"/>
    <w:rsid w:val="00BE153F"/>
    <w:rsid w:val="00BE2E8C"/>
    <w:rsid w:val="00BE2F49"/>
    <w:rsid w:val="00BF3859"/>
    <w:rsid w:val="00C05E38"/>
    <w:rsid w:val="00C10F4B"/>
    <w:rsid w:val="00C1193B"/>
    <w:rsid w:val="00C15A0B"/>
    <w:rsid w:val="00C27862"/>
    <w:rsid w:val="00C30A2A"/>
    <w:rsid w:val="00C354E8"/>
    <w:rsid w:val="00C4019B"/>
    <w:rsid w:val="00C51862"/>
    <w:rsid w:val="00C61941"/>
    <w:rsid w:val="00C62B81"/>
    <w:rsid w:val="00C64F1B"/>
    <w:rsid w:val="00C65CD4"/>
    <w:rsid w:val="00C71C61"/>
    <w:rsid w:val="00C81672"/>
    <w:rsid w:val="00C90D88"/>
    <w:rsid w:val="00C93EAA"/>
    <w:rsid w:val="00C94882"/>
    <w:rsid w:val="00C9530E"/>
    <w:rsid w:val="00CA2425"/>
    <w:rsid w:val="00CA3253"/>
    <w:rsid w:val="00CA3DEC"/>
    <w:rsid w:val="00CA5493"/>
    <w:rsid w:val="00CA625D"/>
    <w:rsid w:val="00CA720C"/>
    <w:rsid w:val="00CA7C1B"/>
    <w:rsid w:val="00CB2D65"/>
    <w:rsid w:val="00CB5E71"/>
    <w:rsid w:val="00CC3510"/>
    <w:rsid w:val="00CC7C5E"/>
    <w:rsid w:val="00CC7D06"/>
    <w:rsid w:val="00CD7642"/>
    <w:rsid w:val="00CE6950"/>
    <w:rsid w:val="00CF188B"/>
    <w:rsid w:val="00CF27CF"/>
    <w:rsid w:val="00CF6AF8"/>
    <w:rsid w:val="00CF7782"/>
    <w:rsid w:val="00D01564"/>
    <w:rsid w:val="00D04E65"/>
    <w:rsid w:val="00D16FC1"/>
    <w:rsid w:val="00D17906"/>
    <w:rsid w:val="00D17ADE"/>
    <w:rsid w:val="00D223F9"/>
    <w:rsid w:val="00D448A7"/>
    <w:rsid w:val="00D470B5"/>
    <w:rsid w:val="00D52C11"/>
    <w:rsid w:val="00D55BD3"/>
    <w:rsid w:val="00D56C49"/>
    <w:rsid w:val="00D64177"/>
    <w:rsid w:val="00D66AFD"/>
    <w:rsid w:val="00D676BC"/>
    <w:rsid w:val="00D727E8"/>
    <w:rsid w:val="00D8149B"/>
    <w:rsid w:val="00D854EF"/>
    <w:rsid w:val="00D900B3"/>
    <w:rsid w:val="00D9148D"/>
    <w:rsid w:val="00D94951"/>
    <w:rsid w:val="00D95023"/>
    <w:rsid w:val="00D97233"/>
    <w:rsid w:val="00DA0AE7"/>
    <w:rsid w:val="00DA6722"/>
    <w:rsid w:val="00DA7D1B"/>
    <w:rsid w:val="00DB2442"/>
    <w:rsid w:val="00DB3E48"/>
    <w:rsid w:val="00DC0AB1"/>
    <w:rsid w:val="00DC1E82"/>
    <w:rsid w:val="00DC3EF5"/>
    <w:rsid w:val="00DD1B4B"/>
    <w:rsid w:val="00DD50F8"/>
    <w:rsid w:val="00DE4750"/>
    <w:rsid w:val="00DE56AF"/>
    <w:rsid w:val="00DE62E7"/>
    <w:rsid w:val="00DF1E79"/>
    <w:rsid w:val="00DF4422"/>
    <w:rsid w:val="00DF499F"/>
    <w:rsid w:val="00E01D1C"/>
    <w:rsid w:val="00E20344"/>
    <w:rsid w:val="00E2060D"/>
    <w:rsid w:val="00E25496"/>
    <w:rsid w:val="00E37815"/>
    <w:rsid w:val="00E41D94"/>
    <w:rsid w:val="00E4347C"/>
    <w:rsid w:val="00E56879"/>
    <w:rsid w:val="00E66E6F"/>
    <w:rsid w:val="00E679A1"/>
    <w:rsid w:val="00E702F1"/>
    <w:rsid w:val="00E754A8"/>
    <w:rsid w:val="00E76713"/>
    <w:rsid w:val="00E832DA"/>
    <w:rsid w:val="00E837D6"/>
    <w:rsid w:val="00E83A89"/>
    <w:rsid w:val="00E85DFE"/>
    <w:rsid w:val="00E865FD"/>
    <w:rsid w:val="00E92356"/>
    <w:rsid w:val="00EA3AD2"/>
    <w:rsid w:val="00EA60AD"/>
    <w:rsid w:val="00EB19FB"/>
    <w:rsid w:val="00EB39AF"/>
    <w:rsid w:val="00EB3A01"/>
    <w:rsid w:val="00EB3E90"/>
    <w:rsid w:val="00EB6B9E"/>
    <w:rsid w:val="00EB6EF2"/>
    <w:rsid w:val="00EC2923"/>
    <w:rsid w:val="00ED03C5"/>
    <w:rsid w:val="00ED4F96"/>
    <w:rsid w:val="00ED57D4"/>
    <w:rsid w:val="00ED635E"/>
    <w:rsid w:val="00EE283E"/>
    <w:rsid w:val="00EE38EB"/>
    <w:rsid w:val="00EE73C3"/>
    <w:rsid w:val="00EF136B"/>
    <w:rsid w:val="00EF55BE"/>
    <w:rsid w:val="00F032D9"/>
    <w:rsid w:val="00F13ADB"/>
    <w:rsid w:val="00F26587"/>
    <w:rsid w:val="00F266E7"/>
    <w:rsid w:val="00F34795"/>
    <w:rsid w:val="00F529A1"/>
    <w:rsid w:val="00F5359B"/>
    <w:rsid w:val="00F65902"/>
    <w:rsid w:val="00F942FA"/>
    <w:rsid w:val="00F96A71"/>
    <w:rsid w:val="00F97BC4"/>
    <w:rsid w:val="00F97E87"/>
    <w:rsid w:val="00FA04CD"/>
    <w:rsid w:val="00FA336F"/>
    <w:rsid w:val="00FB48F2"/>
    <w:rsid w:val="00FB6157"/>
    <w:rsid w:val="00FB61EA"/>
    <w:rsid w:val="00FC0A18"/>
    <w:rsid w:val="00FC671F"/>
    <w:rsid w:val="00FC6C3D"/>
    <w:rsid w:val="00FD13F8"/>
    <w:rsid w:val="00FD4F3D"/>
    <w:rsid w:val="00FE186E"/>
    <w:rsid w:val="00FE1AEF"/>
    <w:rsid w:val="00FE5CF4"/>
    <w:rsid w:val="00FE7879"/>
    <w:rsid w:val="00FF27A0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43F70A"/>
  <w15:docId w15:val="{1575A2F8-1417-4D07-82DF-29C205E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FD"/>
  </w:style>
  <w:style w:type="paragraph" w:styleId="Heading1">
    <w:name w:val="heading 1"/>
    <w:basedOn w:val="Normal"/>
    <w:next w:val="Normal"/>
    <w:link w:val="Heading1Char"/>
    <w:uiPriority w:val="9"/>
    <w:qFormat/>
    <w:rsid w:val="00C3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4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A3"/>
  </w:style>
  <w:style w:type="paragraph" w:styleId="Footer">
    <w:name w:val="footer"/>
    <w:basedOn w:val="Normal"/>
    <w:link w:val="Foot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A3"/>
  </w:style>
  <w:style w:type="paragraph" w:styleId="BalloonText">
    <w:name w:val="Balloon Text"/>
    <w:basedOn w:val="Normal"/>
    <w:link w:val="BalloonTextChar"/>
    <w:uiPriority w:val="99"/>
    <w:semiHidden/>
    <w:unhideWhenUsed/>
    <w:rsid w:val="007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3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3B76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e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emf"/><Relationship Id="rId29" Type="http://schemas.openxmlformats.org/officeDocument/2006/relationships/oleObject" Target="embeddings/oleObject9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3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2.bin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43DE-A333-4EC8-B77B-660C9DCC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8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Basrah University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Rita</dc:creator>
  <cp:lastModifiedBy>0</cp:lastModifiedBy>
  <cp:revision>69</cp:revision>
  <cp:lastPrinted>2023-10-08T20:25:00Z</cp:lastPrinted>
  <dcterms:created xsi:type="dcterms:W3CDTF">2017-10-16T08:27:00Z</dcterms:created>
  <dcterms:modified xsi:type="dcterms:W3CDTF">2023-10-26T18:28:00Z</dcterms:modified>
</cp:coreProperties>
</file>